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0F9" w14:textId="10B84410" w:rsidR="005F3A73" w:rsidRPr="005C26D0" w:rsidRDefault="005F3A73" w:rsidP="005F3A73">
      <w:pPr>
        <w:jc w:val="both"/>
        <w:rPr>
          <w:b/>
          <w:sz w:val="18"/>
          <w:szCs w:val="18"/>
          <w:lang w:val="ro-MD"/>
        </w:rPr>
      </w:pPr>
      <w:r w:rsidRPr="005C26D0">
        <w:rPr>
          <w:b/>
          <w:sz w:val="18"/>
          <w:szCs w:val="18"/>
          <w:lang w:val="ro-MD"/>
        </w:rPr>
        <w:t xml:space="preserve">                                                                                                                                                                                                                                                                                                                                                                                                                                                          Tabelul de </w:t>
      </w:r>
      <w:proofErr w:type="spellStart"/>
      <w:r w:rsidRPr="005C26D0">
        <w:rPr>
          <w:b/>
          <w:sz w:val="18"/>
          <w:szCs w:val="18"/>
          <w:lang w:val="ro-MD"/>
        </w:rPr>
        <w:t>concordanţă</w:t>
      </w:r>
      <w:proofErr w:type="spellEnd"/>
      <w:r w:rsidRPr="005C26D0">
        <w:rPr>
          <w:b/>
          <w:sz w:val="18"/>
          <w:szCs w:val="18"/>
          <w:lang w:val="ro-MD"/>
        </w:rPr>
        <w:t xml:space="preserve"> </w:t>
      </w:r>
    </w:p>
    <w:p w14:paraId="12CDD65B" w14:textId="77777777" w:rsidR="00EB4C48" w:rsidRPr="005C26D0" w:rsidRDefault="00EB4C48" w:rsidP="005F3A73">
      <w:pPr>
        <w:jc w:val="both"/>
        <w:rPr>
          <w:b/>
          <w:sz w:val="18"/>
          <w:szCs w:val="18"/>
          <w:lang w:val="ro-MD"/>
        </w:rPr>
      </w:pPr>
    </w:p>
    <w:p w14:paraId="73E36AB5" w14:textId="30539A30" w:rsidR="005F3A73" w:rsidRPr="005C26D0" w:rsidRDefault="0065218C" w:rsidP="005F3A73">
      <w:pPr>
        <w:jc w:val="both"/>
        <w:rPr>
          <w:b/>
          <w:sz w:val="18"/>
          <w:szCs w:val="18"/>
          <w:lang w:val="ro-MD"/>
        </w:rPr>
      </w:pPr>
      <w:r w:rsidRPr="0065218C">
        <w:rPr>
          <w:b/>
          <w:bCs/>
          <w:sz w:val="18"/>
          <w:szCs w:val="18"/>
          <w:lang w:val="ro-MD"/>
        </w:rPr>
        <w:t xml:space="preserve">REGULAMENTUL DELEGAT (UE) 2021/931 AL COMISIEI din 1 martie 2021 de completare a Regulamentului (UE) nr. 575/2013 al Parlamentului European și al Consiliului în ceea ce privește standardele tehnice de reglementare care specifică metoda de identificare a tranzacțiilor cu instrumente financiare derivate cu unul sau mai mulți determinanți de risc semnificativi în sensul articolului 277 alineatul (5), formula pentru a calcula delta reglementat al opțiunilor </w:t>
      </w:r>
      <w:proofErr w:type="spellStart"/>
      <w:r w:rsidRPr="0065218C">
        <w:rPr>
          <w:b/>
          <w:bCs/>
          <w:sz w:val="18"/>
          <w:szCs w:val="18"/>
          <w:lang w:val="ro-MD"/>
        </w:rPr>
        <w:t>call</w:t>
      </w:r>
      <w:proofErr w:type="spellEnd"/>
      <w:r w:rsidRPr="0065218C">
        <w:rPr>
          <w:b/>
          <w:bCs/>
          <w:sz w:val="18"/>
          <w:szCs w:val="18"/>
          <w:lang w:val="ro-MD"/>
        </w:rPr>
        <w:t xml:space="preserve"> și put încadrate în categoria de risc de rată a dobânzii și metoda pentru a stabili dacă o tranzacție este o poziție lungă sau scurtă pe determinantul de risc principal sau pe cel mai semnificativ determinant de risc într-o anumită categorie de risc în sensul articolului 279a alineatul (3) literele (a) și (b) în cadrul abordării standardizate pentru riscul de credit al </w:t>
      </w:r>
      <w:proofErr w:type="spellStart"/>
      <w:r w:rsidRPr="0065218C">
        <w:rPr>
          <w:b/>
          <w:bCs/>
          <w:sz w:val="18"/>
          <w:szCs w:val="18"/>
          <w:lang w:val="ro-MD"/>
        </w:rPr>
        <w:t>contrapărții</w:t>
      </w:r>
      <w:proofErr w:type="spellEnd"/>
      <w:r>
        <w:rPr>
          <w:b/>
          <w:bCs/>
          <w:sz w:val="18"/>
          <w:szCs w:val="18"/>
          <w:lang w:val="ro-MD"/>
        </w:rPr>
        <w:t xml:space="preserve">, CELEX 02021R0931, </w:t>
      </w:r>
      <w:proofErr w:type="spellStart"/>
      <w:r w:rsidRPr="005C26D0">
        <w:rPr>
          <w:b/>
          <w:bCs/>
          <w:sz w:val="18"/>
          <w:szCs w:val="18"/>
          <w:lang w:val="en-US"/>
        </w:rPr>
        <w:t>astfel</w:t>
      </w:r>
      <w:proofErr w:type="spellEnd"/>
      <w:r w:rsidRPr="005C26D0">
        <w:rPr>
          <w:b/>
          <w:bCs/>
          <w:sz w:val="18"/>
          <w:szCs w:val="18"/>
          <w:lang w:val="en-US"/>
        </w:rPr>
        <w:t xml:space="preserve"> cum a </w:t>
      </w:r>
      <w:proofErr w:type="spellStart"/>
      <w:r w:rsidRPr="005C26D0">
        <w:rPr>
          <w:b/>
          <w:bCs/>
          <w:sz w:val="18"/>
          <w:szCs w:val="18"/>
          <w:lang w:val="en-US"/>
        </w:rPr>
        <w:t>fost</w:t>
      </w:r>
      <w:proofErr w:type="spellEnd"/>
      <w:r w:rsidRPr="005C26D0">
        <w:rPr>
          <w:b/>
          <w:bCs/>
          <w:sz w:val="18"/>
          <w:szCs w:val="18"/>
          <w:lang w:val="en-US"/>
        </w:rPr>
        <w:t xml:space="preserve"> </w:t>
      </w:r>
      <w:proofErr w:type="spellStart"/>
      <w:r w:rsidRPr="005C26D0">
        <w:rPr>
          <w:b/>
          <w:bCs/>
          <w:sz w:val="18"/>
          <w:szCs w:val="18"/>
          <w:lang w:val="en-US"/>
        </w:rPr>
        <w:t>modificat</w:t>
      </w:r>
      <w:proofErr w:type="spellEnd"/>
      <w:r w:rsidRPr="005C26D0">
        <w:rPr>
          <w:b/>
          <w:bCs/>
          <w:sz w:val="18"/>
          <w:szCs w:val="18"/>
          <w:lang w:val="en-US"/>
        </w:rPr>
        <w:t xml:space="preserve"> </w:t>
      </w:r>
      <w:proofErr w:type="spellStart"/>
      <w:r w:rsidRPr="005C26D0">
        <w:rPr>
          <w:b/>
          <w:bCs/>
          <w:sz w:val="18"/>
          <w:szCs w:val="18"/>
          <w:lang w:val="en-US"/>
        </w:rPr>
        <w:t>prin</w:t>
      </w:r>
      <w:proofErr w:type="spellEnd"/>
      <w:r w:rsidRPr="005C26D0">
        <w:rPr>
          <w:b/>
          <w:bCs/>
          <w:sz w:val="18"/>
          <w:szCs w:val="18"/>
          <w:lang w:val="en-US"/>
        </w:rPr>
        <w:t xml:space="preserve"> </w:t>
      </w:r>
      <w:hyperlink r:id="rId12" w:tooltip="32022R0954" w:history="1">
        <w:proofErr w:type="spellStart"/>
        <w:r w:rsidRPr="005C26D0">
          <w:rPr>
            <w:rStyle w:val="Hyperlink"/>
            <w:b/>
            <w:bCs/>
            <w:color w:val="000000" w:themeColor="text1"/>
            <w:sz w:val="18"/>
            <w:szCs w:val="18"/>
            <w:u w:val="none"/>
            <w:lang w:val="en-US"/>
          </w:rPr>
          <w:t>Regulamentul</w:t>
        </w:r>
        <w:proofErr w:type="spellEnd"/>
        <w:r w:rsidRPr="005C26D0">
          <w:rPr>
            <w:rStyle w:val="Hyperlink"/>
            <w:b/>
            <w:bCs/>
            <w:color w:val="000000" w:themeColor="text1"/>
            <w:sz w:val="18"/>
            <w:szCs w:val="18"/>
            <w:u w:val="none"/>
            <w:lang w:val="en-US"/>
          </w:rPr>
          <w:t xml:space="preserve"> </w:t>
        </w:r>
        <w:proofErr w:type="spellStart"/>
        <w:r w:rsidRPr="005C26D0">
          <w:rPr>
            <w:rStyle w:val="Hyperlink"/>
            <w:b/>
            <w:bCs/>
            <w:color w:val="000000" w:themeColor="text1"/>
            <w:sz w:val="18"/>
            <w:szCs w:val="18"/>
            <w:u w:val="none"/>
            <w:lang w:val="en-US"/>
          </w:rPr>
          <w:t>delegat</w:t>
        </w:r>
        <w:proofErr w:type="spellEnd"/>
        <w:r w:rsidRPr="005C26D0">
          <w:rPr>
            <w:rStyle w:val="Hyperlink"/>
            <w:b/>
            <w:bCs/>
            <w:color w:val="000000" w:themeColor="text1"/>
            <w:sz w:val="18"/>
            <w:szCs w:val="18"/>
            <w:u w:val="none"/>
            <w:lang w:val="en-US"/>
          </w:rPr>
          <w:t xml:space="preserve"> (UE) 202</w:t>
        </w:r>
        <w:r>
          <w:rPr>
            <w:rStyle w:val="Hyperlink"/>
            <w:b/>
            <w:bCs/>
            <w:color w:val="000000" w:themeColor="text1"/>
            <w:sz w:val="18"/>
            <w:szCs w:val="18"/>
            <w:u w:val="none"/>
            <w:lang w:val="en-US"/>
          </w:rPr>
          <w:t>5</w:t>
        </w:r>
        <w:r w:rsidRPr="005C26D0">
          <w:rPr>
            <w:rStyle w:val="Hyperlink"/>
            <w:b/>
            <w:bCs/>
            <w:color w:val="000000" w:themeColor="text1"/>
            <w:sz w:val="18"/>
            <w:szCs w:val="18"/>
            <w:u w:val="none"/>
            <w:lang w:val="en-US"/>
          </w:rPr>
          <w:t>/</w:t>
        </w:r>
        <w:r>
          <w:rPr>
            <w:rStyle w:val="Hyperlink"/>
            <w:b/>
            <w:bCs/>
            <w:color w:val="000000" w:themeColor="text1"/>
            <w:sz w:val="18"/>
            <w:szCs w:val="18"/>
            <w:u w:val="none"/>
            <w:lang w:val="en-US"/>
          </w:rPr>
          <w:t>855</w:t>
        </w:r>
        <w:r w:rsidRPr="005C26D0">
          <w:rPr>
            <w:rStyle w:val="Hyperlink"/>
            <w:b/>
            <w:bCs/>
            <w:color w:val="000000" w:themeColor="text1"/>
            <w:sz w:val="18"/>
            <w:szCs w:val="18"/>
            <w:u w:val="none"/>
            <w:lang w:val="en-US"/>
          </w:rPr>
          <w:t xml:space="preserve"> al </w:t>
        </w:r>
        <w:proofErr w:type="spellStart"/>
        <w:r w:rsidRPr="005C26D0">
          <w:rPr>
            <w:rStyle w:val="Hyperlink"/>
            <w:b/>
            <w:bCs/>
            <w:color w:val="000000" w:themeColor="text1"/>
            <w:sz w:val="18"/>
            <w:szCs w:val="18"/>
            <w:u w:val="none"/>
            <w:lang w:val="en-US"/>
          </w:rPr>
          <w:t>comisiei</w:t>
        </w:r>
        <w:proofErr w:type="spellEnd"/>
        <w:r w:rsidRPr="005C26D0">
          <w:rPr>
            <w:rStyle w:val="Hyperlink"/>
            <w:b/>
            <w:bCs/>
            <w:color w:val="000000" w:themeColor="text1"/>
            <w:sz w:val="18"/>
            <w:szCs w:val="18"/>
            <w:u w:val="none"/>
            <w:lang w:val="en-US"/>
          </w:rPr>
          <w:t xml:space="preserve"> din </w:t>
        </w:r>
        <w:r>
          <w:rPr>
            <w:rStyle w:val="Hyperlink"/>
            <w:b/>
            <w:bCs/>
            <w:color w:val="000000" w:themeColor="text1"/>
            <w:sz w:val="18"/>
            <w:szCs w:val="18"/>
            <w:u w:val="none"/>
            <w:lang w:val="en-US"/>
          </w:rPr>
          <w:t xml:space="preserve">28 </w:t>
        </w:r>
        <w:proofErr w:type="spellStart"/>
        <w:r>
          <w:rPr>
            <w:rStyle w:val="Hyperlink"/>
            <w:b/>
            <w:bCs/>
            <w:color w:val="000000" w:themeColor="text1"/>
            <w:sz w:val="18"/>
            <w:szCs w:val="18"/>
            <w:u w:val="none"/>
            <w:lang w:val="en-US"/>
          </w:rPr>
          <w:t>ianuarie</w:t>
        </w:r>
        <w:proofErr w:type="spellEnd"/>
        <w:r>
          <w:rPr>
            <w:rStyle w:val="Hyperlink"/>
            <w:b/>
            <w:bCs/>
            <w:color w:val="000000" w:themeColor="text1"/>
            <w:sz w:val="18"/>
            <w:szCs w:val="18"/>
            <w:u w:val="none"/>
            <w:lang w:val="en-US"/>
          </w:rPr>
          <w:t xml:space="preserve"> 2025</w:t>
        </w:r>
      </w:hyperlink>
    </w:p>
    <w:p w14:paraId="68723932" w14:textId="77777777" w:rsidR="00B93C1C" w:rsidRPr="005C26D0" w:rsidRDefault="00B93C1C" w:rsidP="005F3A73">
      <w:pPr>
        <w:jc w:val="both"/>
        <w:rPr>
          <w:b/>
          <w:bCs/>
          <w:sz w:val="18"/>
          <w:szCs w:val="18"/>
          <w:lang w:val="ro-MD"/>
        </w:rPr>
      </w:pPr>
    </w:p>
    <w:tbl>
      <w:tblPr>
        <w:tblStyle w:val="TableGrid"/>
        <w:tblW w:w="14406" w:type="dxa"/>
        <w:tblLook w:val="04A0" w:firstRow="1" w:lastRow="0" w:firstColumn="1" w:lastColumn="0" w:noHBand="0" w:noVBand="1"/>
      </w:tblPr>
      <w:tblGrid>
        <w:gridCol w:w="1036"/>
        <w:gridCol w:w="13370"/>
      </w:tblGrid>
      <w:tr w:rsidR="005C1753" w:rsidRPr="00274BD4" w14:paraId="4234AB45" w14:textId="77777777" w:rsidTr="00F53042">
        <w:tc>
          <w:tcPr>
            <w:tcW w:w="1036" w:type="dxa"/>
            <w:vMerge w:val="restart"/>
          </w:tcPr>
          <w:p w14:paraId="156328E2" w14:textId="61E2B53F" w:rsidR="005C1753" w:rsidRPr="005C26D0" w:rsidRDefault="005736A5" w:rsidP="005736A5">
            <w:pPr>
              <w:tabs>
                <w:tab w:val="left" w:pos="360"/>
              </w:tabs>
              <w:ind w:left="360"/>
              <w:jc w:val="center"/>
              <w:rPr>
                <w:rFonts w:eastAsia="Arial Unicode MS"/>
                <w:b/>
                <w:bCs/>
                <w:sz w:val="18"/>
                <w:szCs w:val="18"/>
                <w:lang w:val="ro-MD"/>
              </w:rPr>
            </w:pPr>
            <w:r w:rsidRPr="005C26D0">
              <w:rPr>
                <w:rFonts w:eastAsia="Arial Unicode MS"/>
                <w:b/>
                <w:bCs/>
                <w:sz w:val="18"/>
                <w:szCs w:val="18"/>
                <w:lang w:val="ro-MD"/>
              </w:rPr>
              <w:t>1</w:t>
            </w:r>
          </w:p>
        </w:tc>
        <w:tc>
          <w:tcPr>
            <w:tcW w:w="13370" w:type="dxa"/>
          </w:tcPr>
          <w:p w14:paraId="4CA071A5" w14:textId="79606CB9" w:rsidR="005C1753" w:rsidRPr="005C26D0" w:rsidRDefault="005C1753" w:rsidP="00100467">
            <w:pPr>
              <w:tabs>
                <w:tab w:val="left" w:pos="288"/>
              </w:tabs>
              <w:jc w:val="both"/>
              <w:rPr>
                <w:b/>
                <w:bCs/>
                <w:sz w:val="18"/>
                <w:szCs w:val="18"/>
                <w:lang w:val="ro-MD"/>
              </w:rPr>
            </w:pPr>
            <w:r w:rsidRPr="005C26D0">
              <w:rPr>
                <w:rFonts w:eastAsia="Arial Unicode MS"/>
                <w:b/>
                <w:bCs/>
                <w:sz w:val="18"/>
                <w:szCs w:val="18"/>
                <w:lang w:val="ro-MD"/>
              </w:rPr>
              <w:t>Titlul actului Uniunii Europene, inclusiv ce</w:t>
            </w:r>
            <w:r w:rsidR="005736A5" w:rsidRPr="005C26D0">
              <w:rPr>
                <w:rFonts w:eastAsia="Arial Unicode MS"/>
                <w:b/>
                <w:bCs/>
                <w:sz w:val="18"/>
                <w:szCs w:val="18"/>
                <w:lang w:val="ro-MD"/>
              </w:rPr>
              <w:t>a</w:t>
            </w:r>
            <w:r w:rsidRPr="005C26D0">
              <w:rPr>
                <w:rFonts w:eastAsia="Arial Unicode MS"/>
                <w:b/>
                <w:bCs/>
                <w:sz w:val="18"/>
                <w:szCs w:val="18"/>
                <w:lang w:val="ro-MD"/>
              </w:rPr>
              <w:t xml:space="preserve"> mai recent</w:t>
            </w:r>
            <w:r w:rsidR="005736A5" w:rsidRPr="005C26D0">
              <w:rPr>
                <w:rFonts w:eastAsia="Arial Unicode MS"/>
                <w:b/>
                <w:bCs/>
                <w:sz w:val="18"/>
                <w:szCs w:val="18"/>
                <w:lang w:val="ro-MD"/>
              </w:rPr>
              <w:t xml:space="preserve">ă modificare, </w:t>
            </w:r>
            <w:proofErr w:type="spellStart"/>
            <w:r w:rsidR="005736A5" w:rsidRPr="005C26D0">
              <w:rPr>
                <w:rFonts w:eastAsia="Arial Unicode MS"/>
                <w:b/>
                <w:bCs/>
                <w:sz w:val="18"/>
                <w:szCs w:val="18"/>
                <w:lang w:val="ro-MD"/>
              </w:rPr>
              <w:t>nr.CELEX</w:t>
            </w:r>
            <w:proofErr w:type="spellEnd"/>
          </w:p>
        </w:tc>
      </w:tr>
      <w:tr w:rsidR="005C1753" w:rsidRPr="00274BD4" w14:paraId="22BB6EA7" w14:textId="77777777" w:rsidTr="00F53042">
        <w:trPr>
          <w:trHeight w:val="750"/>
        </w:trPr>
        <w:tc>
          <w:tcPr>
            <w:tcW w:w="1036" w:type="dxa"/>
            <w:vMerge/>
          </w:tcPr>
          <w:p w14:paraId="3FEFA6A8" w14:textId="77777777" w:rsidR="005C1753" w:rsidRPr="005C26D0" w:rsidRDefault="005C1753" w:rsidP="005736A5">
            <w:pPr>
              <w:tabs>
                <w:tab w:val="left" w:pos="360"/>
              </w:tabs>
              <w:spacing w:before="240" w:after="240"/>
              <w:jc w:val="center"/>
              <w:rPr>
                <w:rFonts w:eastAsia="Arial Unicode MS"/>
                <w:bCs/>
                <w:sz w:val="18"/>
                <w:szCs w:val="18"/>
                <w:lang w:val="ro-MD"/>
              </w:rPr>
            </w:pPr>
          </w:p>
        </w:tc>
        <w:tc>
          <w:tcPr>
            <w:tcW w:w="13370" w:type="dxa"/>
            <w:vAlign w:val="center"/>
          </w:tcPr>
          <w:p w14:paraId="5F28290B" w14:textId="704CD59B" w:rsidR="005C1753" w:rsidRPr="0065218C" w:rsidRDefault="0065218C" w:rsidP="001117A8">
            <w:pPr>
              <w:jc w:val="both"/>
              <w:rPr>
                <w:b/>
                <w:bCs/>
                <w:sz w:val="18"/>
                <w:szCs w:val="18"/>
                <w:lang w:val="ro-MD"/>
              </w:rPr>
            </w:pPr>
            <w:r w:rsidRPr="0065218C">
              <w:rPr>
                <w:b/>
                <w:bCs/>
                <w:sz w:val="18"/>
                <w:szCs w:val="18"/>
                <w:lang w:val="ro-MD"/>
              </w:rPr>
              <w:t xml:space="preserve">REGULAMENTUL DELEGAT (UE) 2021/931 AL COMISIEI din 1 martie 2021 de completare a Regulamentului (UE) nr. 575/2013 al Parlamentului European și al Consiliului în ceea ce privește standardele tehnice de reglementare care specifică metoda de identificare a tranzacțiilor cu instrumente financiare derivate cu unul sau mai mulți determinanți de risc semnificativi în sensul articolului 277 alineatul (5), formula pentru a calcula delta reglementat al opțiunilor </w:t>
            </w:r>
            <w:proofErr w:type="spellStart"/>
            <w:r w:rsidRPr="0065218C">
              <w:rPr>
                <w:b/>
                <w:bCs/>
                <w:sz w:val="18"/>
                <w:szCs w:val="18"/>
                <w:lang w:val="ro-MD"/>
              </w:rPr>
              <w:t>call</w:t>
            </w:r>
            <w:proofErr w:type="spellEnd"/>
            <w:r w:rsidRPr="0065218C">
              <w:rPr>
                <w:b/>
                <w:bCs/>
                <w:sz w:val="18"/>
                <w:szCs w:val="18"/>
                <w:lang w:val="ro-MD"/>
              </w:rPr>
              <w:t xml:space="preserve"> și put încadrate în categoria de risc de rată a dobânzii și metoda pentru a stabili dacă o tranzacție este o poziție lungă sau scurtă pe determinantul de risc principal sau pe cel mai semnificativ determinant de risc într-o anumită categorie de risc în sensul articolului 279a alineatul (3) literele (a) și (b) în cadrul abordării standardizate pentru riscul de credit al </w:t>
            </w:r>
            <w:proofErr w:type="spellStart"/>
            <w:r w:rsidRPr="0065218C">
              <w:rPr>
                <w:b/>
                <w:bCs/>
                <w:sz w:val="18"/>
                <w:szCs w:val="18"/>
                <w:lang w:val="ro-MD"/>
              </w:rPr>
              <w:t>contrapărții</w:t>
            </w:r>
            <w:proofErr w:type="spellEnd"/>
            <w:r>
              <w:rPr>
                <w:b/>
                <w:bCs/>
                <w:sz w:val="18"/>
                <w:szCs w:val="18"/>
                <w:lang w:val="ro-MD"/>
              </w:rPr>
              <w:t xml:space="preserve">, CELEX 02021R0931, </w:t>
            </w:r>
            <w:proofErr w:type="spellStart"/>
            <w:r w:rsidRPr="005C26D0">
              <w:rPr>
                <w:b/>
                <w:bCs/>
                <w:sz w:val="18"/>
                <w:szCs w:val="18"/>
                <w:lang w:val="en-US"/>
              </w:rPr>
              <w:t>astfel</w:t>
            </w:r>
            <w:proofErr w:type="spellEnd"/>
            <w:r w:rsidRPr="005C26D0">
              <w:rPr>
                <w:b/>
                <w:bCs/>
                <w:sz w:val="18"/>
                <w:szCs w:val="18"/>
                <w:lang w:val="en-US"/>
              </w:rPr>
              <w:t xml:space="preserve"> cum a </w:t>
            </w:r>
            <w:proofErr w:type="spellStart"/>
            <w:r w:rsidRPr="005C26D0">
              <w:rPr>
                <w:b/>
                <w:bCs/>
                <w:sz w:val="18"/>
                <w:szCs w:val="18"/>
                <w:lang w:val="en-US"/>
              </w:rPr>
              <w:t>fost</w:t>
            </w:r>
            <w:proofErr w:type="spellEnd"/>
            <w:r w:rsidRPr="005C26D0">
              <w:rPr>
                <w:b/>
                <w:bCs/>
                <w:sz w:val="18"/>
                <w:szCs w:val="18"/>
                <w:lang w:val="en-US"/>
              </w:rPr>
              <w:t xml:space="preserve"> </w:t>
            </w:r>
            <w:proofErr w:type="spellStart"/>
            <w:r w:rsidRPr="005C26D0">
              <w:rPr>
                <w:b/>
                <w:bCs/>
                <w:sz w:val="18"/>
                <w:szCs w:val="18"/>
                <w:lang w:val="en-US"/>
              </w:rPr>
              <w:t>modificat</w:t>
            </w:r>
            <w:proofErr w:type="spellEnd"/>
            <w:r w:rsidRPr="005C26D0">
              <w:rPr>
                <w:b/>
                <w:bCs/>
                <w:sz w:val="18"/>
                <w:szCs w:val="18"/>
                <w:lang w:val="en-US"/>
              </w:rPr>
              <w:t xml:space="preserve"> </w:t>
            </w:r>
            <w:proofErr w:type="spellStart"/>
            <w:r w:rsidRPr="005C26D0">
              <w:rPr>
                <w:b/>
                <w:bCs/>
                <w:sz w:val="18"/>
                <w:szCs w:val="18"/>
                <w:lang w:val="en-US"/>
              </w:rPr>
              <w:t>prin</w:t>
            </w:r>
            <w:proofErr w:type="spellEnd"/>
            <w:r w:rsidRPr="005C26D0">
              <w:rPr>
                <w:b/>
                <w:bCs/>
                <w:sz w:val="18"/>
                <w:szCs w:val="18"/>
                <w:lang w:val="en-US"/>
              </w:rPr>
              <w:t xml:space="preserve"> </w:t>
            </w:r>
            <w:hyperlink r:id="rId13" w:tooltip="32022R0954" w:history="1">
              <w:proofErr w:type="spellStart"/>
              <w:r w:rsidRPr="005C26D0">
                <w:rPr>
                  <w:rStyle w:val="Hyperlink"/>
                  <w:b/>
                  <w:bCs/>
                  <w:color w:val="000000" w:themeColor="text1"/>
                  <w:sz w:val="18"/>
                  <w:szCs w:val="18"/>
                  <w:u w:val="none"/>
                  <w:lang w:val="en-US"/>
                </w:rPr>
                <w:t>Regulamentul</w:t>
              </w:r>
              <w:proofErr w:type="spellEnd"/>
              <w:r w:rsidRPr="005C26D0">
                <w:rPr>
                  <w:rStyle w:val="Hyperlink"/>
                  <w:b/>
                  <w:bCs/>
                  <w:color w:val="000000" w:themeColor="text1"/>
                  <w:sz w:val="18"/>
                  <w:szCs w:val="18"/>
                  <w:u w:val="none"/>
                  <w:lang w:val="en-US"/>
                </w:rPr>
                <w:t xml:space="preserve"> </w:t>
              </w:r>
              <w:proofErr w:type="spellStart"/>
              <w:r w:rsidRPr="005C26D0">
                <w:rPr>
                  <w:rStyle w:val="Hyperlink"/>
                  <w:b/>
                  <w:bCs/>
                  <w:color w:val="000000" w:themeColor="text1"/>
                  <w:sz w:val="18"/>
                  <w:szCs w:val="18"/>
                  <w:u w:val="none"/>
                  <w:lang w:val="en-US"/>
                </w:rPr>
                <w:t>delegat</w:t>
              </w:r>
              <w:proofErr w:type="spellEnd"/>
              <w:r w:rsidRPr="005C26D0">
                <w:rPr>
                  <w:rStyle w:val="Hyperlink"/>
                  <w:b/>
                  <w:bCs/>
                  <w:color w:val="000000" w:themeColor="text1"/>
                  <w:sz w:val="18"/>
                  <w:szCs w:val="18"/>
                  <w:u w:val="none"/>
                  <w:lang w:val="en-US"/>
                </w:rPr>
                <w:t xml:space="preserve"> (UE) 202</w:t>
              </w:r>
              <w:r>
                <w:rPr>
                  <w:rStyle w:val="Hyperlink"/>
                  <w:b/>
                  <w:bCs/>
                  <w:color w:val="000000" w:themeColor="text1"/>
                  <w:sz w:val="18"/>
                  <w:szCs w:val="18"/>
                  <w:u w:val="none"/>
                  <w:lang w:val="en-US"/>
                </w:rPr>
                <w:t>5</w:t>
              </w:r>
              <w:r w:rsidRPr="005C26D0">
                <w:rPr>
                  <w:rStyle w:val="Hyperlink"/>
                  <w:b/>
                  <w:bCs/>
                  <w:color w:val="000000" w:themeColor="text1"/>
                  <w:sz w:val="18"/>
                  <w:szCs w:val="18"/>
                  <w:u w:val="none"/>
                  <w:lang w:val="en-US"/>
                </w:rPr>
                <w:t>/</w:t>
              </w:r>
              <w:r>
                <w:rPr>
                  <w:rStyle w:val="Hyperlink"/>
                  <w:b/>
                  <w:bCs/>
                  <w:color w:val="000000" w:themeColor="text1"/>
                  <w:sz w:val="18"/>
                  <w:szCs w:val="18"/>
                  <w:u w:val="none"/>
                  <w:lang w:val="en-US"/>
                </w:rPr>
                <w:t>855</w:t>
              </w:r>
              <w:r w:rsidRPr="005C26D0">
                <w:rPr>
                  <w:rStyle w:val="Hyperlink"/>
                  <w:b/>
                  <w:bCs/>
                  <w:color w:val="000000" w:themeColor="text1"/>
                  <w:sz w:val="18"/>
                  <w:szCs w:val="18"/>
                  <w:u w:val="none"/>
                  <w:lang w:val="en-US"/>
                </w:rPr>
                <w:t xml:space="preserve"> al </w:t>
              </w:r>
              <w:proofErr w:type="spellStart"/>
              <w:r w:rsidRPr="005C26D0">
                <w:rPr>
                  <w:rStyle w:val="Hyperlink"/>
                  <w:b/>
                  <w:bCs/>
                  <w:color w:val="000000" w:themeColor="text1"/>
                  <w:sz w:val="18"/>
                  <w:szCs w:val="18"/>
                  <w:u w:val="none"/>
                  <w:lang w:val="en-US"/>
                </w:rPr>
                <w:t>comisiei</w:t>
              </w:r>
              <w:proofErr w:type="spellEnd"/>
              <w:r w:rsidRPr="005C26D0">
                <w:rPr>
                  <w:rStyle w:val="Hyperlink"/>
                  <w:b/>
                  <w:bCs/>
                  <w:color w:val="000000" w:themeColor="text1"/>
                  <w:sz w:val="18"/>
                  <w:szCs w:val="18"/>
                  <w:u w:val="none"/>
                  <w:lang w:val="en-US"/>
                </w:rPr>
                <w:t xml:space="preserve"> din </w:t>
              </w:r>
              <w:r>
                <w:rPr>
                  <w:rStyle w:val="Hyperlink"/>
                  <w:b/>
                  <w:bCs/>
                  <w:color w:val="000000" w:themeColor="text1"/>
                  <w:sz w:val="18"/>
                  <w:szCs w:val="18"/>
                  <w:u w:val="none"/>
                  <w:lang w:val="en-US"/>
                </w:rPr>
                <w:t xml:space="preserve">28 </w:t>
              </w:r>
              <w:proofErr w:type="spellStart"/>
              <w:r>
                <w:rPr>
                  <w:rStyle w:val="Hyperlink"/>
                  <w:b/>
                  <w:bCs/>
                  <w:color w:val="000000" w:themeColor="text1"/>
                  <w:sz w:val="18"/>
                  <w:szCs w:val="18"/>
                  <w:u w:val="none"/>
                  <w:lang w:val="en-US"/>
                </w:rPr>
                <w:t>ianuarie</w:t>
              </w:r>
              <w:proofErr w:type="spellEnd"/>
              <w:r>
                <w:rPr>
                  <w:rStyle w:val="Hyperlink"/>
                  <w:b/>
                  <w:bCs/>
                  <w:color w:val="000000" w:themeColor="text1"/>
                  <w:sz w:val="18"/>
                  <w:szCs w:val="18"/>
                  <w:u w:val="none"/>
                  <w:lang w:val="en-US"/>
                </w:rPr>
                <w:t xml:space="preserve"> 2025</w:t>
              </w:r>
            </w:hyperlink>
          </w:p>
        </w:tc>
      </w:tr>
      <w:tr w:rsidR="005C1753" w:rsidRPr="00274BD4" w14:paraId="4C1AE693" w14:textId="77777777" w:rsidTr="00F53042">
        <w:tc>
          <w:tcPr>
            <w:tcW w:w="1036" w:type="dxa"/>
            <w:vMerge w:val="restart"/>
          </w:tcPr>
          <w:p w14:paraId="17604346" w14:textId="425F04A1" w:rsidR="005C1753" w:rsidRPr="005C26D0" w:rsidRDefault="005736A5" w:rsidP="005736A5">
            <w:pPr>
              <w:pStyle w:val="ListParagraph"/>
              <w:tabs>
                <w:tab w:val="left" w:pos="736"/>
              </w:tabs>
              <w:jc w:val="center"/>
              <w:rPr>
                <w:b/>
                <w:bCs/>
                <w:sz w:val="18"/>
                <w:szCs w:val="18"/>
                <w:lang w:val="ro-MD"/>
              </w:rPr>
            </w:pPr>
            <w:r w:rsidRPr="005C26D0">
              <w:rPr>
                <w:b/>
                <w:bCs/>
                <w:sz w:val="18"/>
                <w:szCs w:val="18"/>
                <w:lang w:val="ro-MD"/>
              </w:rPr>
              <w:t>2</w:t>
            </w:r>
          </w:p>
        </w:tc>
        <w:tc>
          <w:tcPr>
            <w:tcW w:w="13370" w:type="dxa"/>
          </w:tcPr>
          <w:p w14:paraId="0B90C67A" w14:textId="4CFAD522" w:rsidR="005C1753" w:rsidRPr="005C26D0" w:rsidRDefault="005C1753" w:rsidP="00100467">
            <w:pPr>
              <w:pStyle w:val="ListParagraph"/>
              <w:tabs>
                <w:tab w:val="left" w:pos="284"/>
              </w:tabs>
              <w:ind w:left="0"/>
              <w:jc w:val="both"/>
              <w:rPr>
                <w:b/>
                <w:bCs/>
                <w:sz w:val="18"/>
                <w:szCs w:val="18"/>
                <w:lang w:val="ro-MD"/>
              </w:rPr>
            </w:pPr>
            <w:r w:rsidRPr="005C26D0">
              <w:rPr>
                <w:b/>
                <w:bCs/>
                <w:sz w:val="18"/>
                <w:szCs w:val="18"/>
                <w:lang w:val="ro-MD"/>
              </w:rPr>
              <w:t xml:space="preserve">Titlul proiectului de act normativ </w:t>
            </w:r>
            <w:proofErr w:type="spellStart"/>
            <w:r w:rsidRPr="005C26D0">
              <w:rPr>
                <w:b/>
                <w:bCs/>
                <w:sz w:val="18"/>
                <w:szCs w:val="18"/>
                <w:lang w:val="ro-MD"/>
              </w:rPr>
              <w:t>naţional</w:t>
            </w:r>
            <w:proofErr w:type="spellEnd"/>
          </w:p>
        </w:tc>
      </w:tr>
      <w:tr w:rsidR="005C1753" w:rsidRPr="00274BD4" w14:paraId="38DA1561" w14:textId="77777777" w:rsidTr="00F53042">
        <w:tc>
          <w:tcPr>
            <w:tcW w:w="1036" w:type="dxa"/>
            <w:vMerge/>
          </w:tcPr>
          <w:p w14:paraId="4D90D7E6" w14:textId="77777777" w:rsidR="005C1753" w:rsidRPr="005C26D0" w:rsidRDefault="005C1753" w:rsidP="005736A5">
            <w:pPr>
              <w:tabs>
                <w:tab w:val="left" w:pos="736"/>
              </w:tabs>
              <w:jc w:val="center"/>
              <w:rPr>
                <w:b/>
                <w:sz w:val="18"/>
                <w:szCs w:val="18"/>
                <w:u w:val="single"/>
                <w:lang w:val="ro-MD"/>
              </w:rPr>
            </w:pPr>
          </w:p>
        </w:tc>
        <w:tc>
          <w:tcPr>
            <w:tcW w:w="13370" w:type="dxa"/>
          </w:tcPr>
          <w:p w14:paraId="0EADB3DE" w14:textId="2EF46F1A" w:rsidR="005C1753" w:rsidRPr="00A25439" w:rsidRDefault="00100467" w:rsidP="00A25439">
            <w:pPr>
              <w:ind w:right="28"/>
              <w:rPr>
                <w:b/>
                <w:bCs/>
                <w:color w:val="000000" w:themeColor="text1"/>
                <w:sz w:val="18"/>
                <w:szCs w:val="18"/>
                <w:lang w:val="ro-RO" w:eastAsia="en-US"/>
              </w:rPr>
            </w:pPr>
            <w:r w:rsidRPr="00A25439">
              <w:rPr>
                <w:bCs/>
                <w:sz w:val="18"/>
                <w:szCs w:val="18"/>
                <w:lang w:val="ro-MD"/>
              </w:rPr>
              <w:t>Proiectul Hotărârii Comitetului executiv al Băncii Naționale a Moldovei</w:t>
            </w:r>
            <w:r w:rsidR="00675F66" w:rsidRPr="00A25439">
              <w:rPr>
                <w:bCs/>
                <w:sz w:val="18"/>
                <w:szCs w:val="18"/>
                <w:lang w:val="ro-MD"/>
              </w:rPr>
              <w:t xml:space="preserve"> </w:t>
            </w:r>
            <w:r w:rsidR="00A25439" w:rsidRPr="00A25439">
              <w:rPr>
                <w:bCs/>
                <w:sz w:val="18"/>
                <w:szCs w:val="18"/>
                <w:lang w:val="ro-MD"/>
              </w:rPr>
              <w:t>„</w:t>
            </w:r>
            <w:r w:rsidR="00A25439" w:rsidRPr="00A25439">
              <w:rPr>
                <w:bCs/>
                <w:color w:val="000000" w:themeColor="text1"/>
                <w:sz w:val="18"/>
                <w:szCs w:val="18"/>
                <w:lang w:val="ro-RO" w:eastAsia="en-US"/>
              </w:rPr>
              <w:t xml:space="preserve">Pentru </w:t>
            </w:r>
            <w:r w:rsidR="00A25439" w:rsidRPr="00A25439">
              <w:rPr>
                <w:bCs/>
                <w:color w:val="000000" w:themeColor="text1"/>
                <w:sz w:val="18"/>
                <w:szCs w:val="18"/>
                <w:lang w:val="ro-MD" w:eastAsia="en-US"/>
              </w:rPr>
              <w:t>modificarea</w:t>
            </w:r>
            <w:r w:rsidR="00A25439" w:rsidRPr="00A25439">
              <w:rPr>
                <w:bCs/>
                <w:color w:val="000000" w:themeColor="text1"/>
                <w:sz w:val="18"/>
                <w:szCs w:val="18"/>
                <w:lang w:val="ro-RO" w:eastAsia="en-US"/>
              </w:rPr>
              <w:t xml:space="preserve"> unor acte normative ale </w:t>
            </w:r>
            <w:r w:rsidR="00A25439" w:rsidRPr="00A25439">
              <w:rPr>
                <w:bCs/>
                <w:color w:val="000000" w:themeColor="text1"/>
                <w:sz w:val="18"/>
                <w:szCs w:val="18"/>
                <w:lang w:val="ro-MD" w:eastAsia="en-US"/>
              </w:rPr>
              <w:t xml:space="preserve">Băncii Naționale a Moldovei” </w:t>
            </w:r>
            <w:r w:rsidR="00A25439" w:rsidRPr="00AF7168">
              <w:rPr>
                <w:bCs/>
                <w:color w:val="000000" w:themeColor="text1"/>
                <w:sz w:val="18"/>
                <w:szCs w:val="18"/>
                <w:lang w:val="ro-RO" w:eastAsia="en-US"/>
              </w:rPr>
              <w:t>(modificarea Regulamentului cu privire la tratamentul</w:t>
            </w:r>
            <w:r w:rsidR="00A25439" w:rsidRPr="00A25439">
              <w:rPr>
                <w:bCs/>
                <w:color w:val="000000" w:themeColor="text1"/>
                <w:sz w:val="18"/>
                <w:szCs w:val="18"/>
                <w:lang w:val="ro-RO" w:eastAsia="en-US"/>
              </w:rPr>
              <w:t xml:space="preserve"> </w:t>
            </w:r>
            <w:r w:rsidR="00A25439" w:rsidRPr="00AF7168">
              <w:rPr>
                <w:bCs/>
                <w:color w:val="000000" w:themeColor="text1"/>
                <w:sz w:val="18"/>
                <w:szCs w:val="18"/>
                <w:lang w:val="ro-RO" w:eastAsia="en-US"/>
              </w:rPr>
              <w:t xml:space="preserve">riscului </w:t>
            </w:r>
            <w:r w:rsidR="00A25439" w:rsidRPr="00A25439">
              <w:rPr>
                <w:bCs/>
                <w:color w:val="000000" w:themeColor="text1"/>
                <w:sz w:val="18"/>
                <w:szCs w:val="18"/>
                <w:lang w:val="ro-MD" w:eastAsia="en-US"/>
              </w:rPr>
              <w:t xml:space="preserve">de credit al </w:t>
            </w:r>
            <w:proofErr w:type="spellStart"/>
            <w:r w:rsidR="00A25439" w:rsidRPr="00A25439">
              <w:rPr>
                <w:bCs/>
                <w:color w:val="000000" w:themeColor="text1"/>
                <w:sz w:val="18"/>
                <w:szCs w:val="18"/>
                <w:lang w:val="ro-MD" w:eastAsia="en-US"/>
              </w:rPr>
              <w:t>contrapărţii</w:t>
            </w:r>
            <w:proofErr w:type="spellEnd"/>
            <w:r w:rsidR="00A25439" w:rsidRPr="00A25439">
              <w:rPr>
                <w:bCs/>
                <w:color w:val="000000" w:themeColor="text1"/>
                <w:sz w:val="18"/>
                <w:szCs w:val="18"/>
                <w:lang w:val="ro-RO" w:eastAsia="en-US"/>
              </w:rPr>
              <w:t xml:space="preserve"> </w:t>
            </w:r>
            <w:r w:rsidR="00A25439" w:rsidRPr="00AF7168">
              <w:rPr>
                <w:bCs/>
                <w:color w:val="000000" w:themeColor="text1"/>
                <w:sz w:val="18"/>
                <w:szCs w:val="18"/>
                <w:lang w:val="ro-RO" w:eastAsia="en-US"/>
              </w:rPr>
              <w:t xml:space="preserve">și </w:t>
            </w:r>
            <w:r w:rsidR="00A25439" w:rsidRPr="00A25439">
              <w:rPr>
                <w:bCs/>
                <w:color w:val="000000" w:themeColor="text1"/>
                <w:sz w:val="18"/>
                <w:szCs w:val="18"/>
                <w:lang w:val="ro-RO" w:eastAsia="en-US"/>
              </w:rPr>
              <w:t>Instrucțiun</w:t>
            </w:r>
            <w:r w:rsidR="002112B2">
              <w:rPr>
                <w:bCs/>
                <w:color w:val="000000" w:themeColor="text1"/>
                <w:sz w:val="18"/>
                <w:szCs w:val="18"/>
                <w:lang w:val="ro-RO" w:eastAsia="en-US"/>
              </w:rPr>
              <w:t>ii</w:t>
            </w:r>
            <w:r w:rsidR="00A25439" w:rsidRPr="00A25439">
              <w:rPr>
                <w:bCs/>
                <w:color w:val="000000" w:themeColor="text1"/>
                <w:sz w:val="18"/>
                <w:szCs w:val="18"/>
                <w:lang w:val="ro-RO" w:eastAsia="en-US"/>
              </w:rPr>
              <w:t xml:space="preserve"> cu privire la prezentarea de către bănci a rapoartelor COREP în scopuri de supraveghere</w:t>
            </w:r>
            <w:r w:rsidR="00A25439" w:rsidRPr="00A25439">
              <w:rPr>
                <w:bCs/>
                <w:color w:val="000000" w:themeColor="text1"/>
                <w:sz w:val="18"/>
                <w:szCs w:val="18"/>
                <w:lang w:val="ro-MD" w:eastAsia="en-US"/>
              </w:rPr>
              <w:t>)</w:t>
            </w:r>
            <w:r w:rsidR="00A25439" w:rsidRPr="00A25439">
              <w:rPr>
                <w:b/>
                <w:color w:val="000000" w:themeColor="text1"/>
                <w:sz w:val="18"/>
                <w:szCs w:val="18"/>
                <w:lang w:val="ro-MD" w:eastAsia="en-US"/>
              </w:rPr>
              <w:t xml:space="preserve"> </w:t>
            </w:r>
          </w:p>
        </w:tc>
      </w:tr>
      <w:tr w:rsidR="005C1753" w:rsidRPr="00274BD4" w14:paraId="52E95686" w14:textId="77777777" w:rsidTr="00F53042">
        <w:tc>
          <w:tcPr>
            <w:tcW w:w="1036" w:type="dxa"/>
          </w:tcPr>
          <w:p w14:paraId="42781153" w14:textId="33DBF68F" w:rsidR="005C1753" w:rsidRPr="005C26D0" w:rsidRDefault="005736A5" w:rsidP="005736A5">
            <w:pPr>
              <w:pStyle w:val="ListParagraph"/>
              <w:tabs>
                <w:tab w:val="left" w:pos="736"/>
              </w:tabs>
              <w:jc w:val="center"/>
              <w:rPr>
                <w:b/>
                <w:bCs/>
                <w:sz w:val="18"/>
                <w:szCs w:val="18"/>
                <w:lang w:val="ro-MD"/>
              </w:rPr>
            </w:pPr>
            <w:r w:rsidRPr="005C26D0">
              <w:rPr>
                <w:b/>
                <w:bCs/>
                <w:sz w:val="18"/>
                <w:szCs w:val="18"/>
                <w:lang w:val="ro-MD"/>
              </w:rPr>
              <w:t>3</w:t>
            </w:r>
          </w:p>
        </w:tc>
        <w:tc>
          <w:tcPr>
            <w:tcW w:w="13370" w:type="dxa"/>
          </w:tcPr>
          <w:p w14:paraId="2172F9E4" w14:textId="65A3DB21" w:rsidR="005C1753" w:rsidRPr="005C26D0" w:rsidRDefault="005C1753" w:rsidP="00100467">
            <w:pPr>
              <w:jc w:val="both"/>
              <w:rPr>
                <w:sz w:val="18"/>
                <w:szCs w:val="18"/>
                <w:lang w:val="ro-MD"/>
              </w:rPr>
            </w:pPr>
            <w:r w:rsidRPr="005C26D0">
              <w:rPr>
                <w:b/>
                <w:bCs/>
                <w:sz w:val="18"/>
                <w:szCs w:val="18"/>
                <w:lang w:val="ro-MD"/>
              </w:rPr>
              <w:t xml:space="preserve">Gradul general de compatibilitate </w:t>
            </w:r>
            <w:r w:rsidR="005736A5" w:rsidRPr="005C26D0">
              <w:rPr>
                <w:b/>
                <w:bCs/>
                <w:sz w:val="18"/>
                <w:szCs w:val="18"/>
                <w:lang w:val="ro-MD"/>
              </w:rPr>
              <w:t>–</w:t>
            </w:r>
            <w:r w:rsidR="00675F66" w:rsidRPr="005C26D0">
              <w:rPr>
                <w:b/>
                <w:bCs/>
                <w:sz w:val="18"/>
                <w:szCs w:val="18"/>
                <w:lang w:val="ro-MD"/>
              </w:rPr>
              <w:t xml:space="preserve"> </w:t>
            </w:r>
            <w:r w:rsidRPr="005C26D0">
              <w:rPr>
                <w:rFonts w:eastAsia="MS Mincho"/>
                <w:sz w:val="18"/>
                <w:szCs w:val="18"/>
                <w:lang w:val="ro-MD"/>
              </w:rPr>
              <w:t>compatibil</w:t>
            </w:r>
          </w:p>
        </w:tc>
      </w:tr>
      <w:tr w:rsidR="005736A5" w:rsidRPr="00274BD4" w14:paraId="2013D9CD" w14:textId="77777777" w:rsidTr="00F53042">
        <w:tc>
          <w:tcPr>
            <w:tcW w:w="1036" w:type="dxa"/>
          </w:tcPr>
          <w:p w14:paraId="085A466A" w14:textId="31787F35" w:rsidR="005736A5" w:rsidRPr="005C26D0" w:rsidRDefault="005736A5" w:rsidP="005736A5">
            <w:pPr>
              <w:pStyle w:val="ListParagraph"/>
              <w:tabs>
                <w:tab w:val="left" w:pos="736"/>
              </w:tabs>
              <w:jc w:val="center"/>
              <w:rPr>
                <w:b/>
                <w:bCs/>
                <w:sz w:val="18"/>
                <w:szCs w:val="18"/>
                <w:lang w:val="ro-MD"/>
              </w:rPr>
            </w:pPr>
            <w:r w:rsidRPr="005C26D0">
              <w:rPr>
                <w:b/>
                <w:bCs/>
                <w:sz w:val="18"/>
                <w:szCs w:val="18"/>
                <w:lang w:val="ro-MD"/>
              </w:rPr>
              <w:t>4</w:t>
            </w:r>
          </w:p>
        </w:tc>
        <w:tc>
          <w:tcPr>
            <w:tcW w:w="13370" w:type="dxa"/>
          </w:tcPr>
          <w:p w14:paraId="0A4BFC1F" w14:textId="3D4C9458" w:rsidR="005736A5" w:rsidRPr="005C26D0" w:rsidRDefault="005736A5" w:rsidP="00100467">
            <w:pPr>
              <w:jc w:val="both"/>
              <w:rPr>
                <w:b/>
                <w:bCs/>
                <w:sz w:val="18"/>
                <w:szCs w:val="18"/>
                <w:lang w:val="ro-MD"/>
              </w:rPr>
            </w:pPr>
            <w:r w:rsidRPr="005C26D0">
              <w:rPr>
                <w:b/>
                <w:bCs/>
                <w:sz w:val="18"/>
                <w:szCs w:val="18"/>
                <w:lang w:val="ro-MD"/>
              </w:rPr>
              <w:t xml:space="preserve">Autoritatea/persoana responsabilă </w:t>
            </w:r>
            <w:r w:rsidRPr="005C26D0">
              <w:rPr>
                <w:sz w:val="18"/>
                <w:szCs w:val="18"/>
                <w:lang w:val="ro-MD"/>
              </w:rPr>
              <w:t>– Banca Națională a Moldovei</w:t>
            </w:r>
          </w:p>
        </w:tc>
      </w:tr>
      <w:tr w:rsidR="005736A5" w:rsidRPr="005C26D0" w14:paraId="4B5F66BF" w14:textId="77777777" w:rsidTr="00F53042">
        <w:tc>
          <w:tcPr>
            <w:tcW w:w="1036" w:type="dxa"/>
          </w:tcPr>
          <w:p w14:paraId="419FF102" w14:textId="119E3441" w:rsidR="005736A5" w:rsidRPr="005C26D0" w:rsidRDefault="005736A5" w:rsidP="005736A5">
            <w:pPr>
              <w:pStyle w:val="ListParagraph"/>
              <w:tabs>
                <w:tab w:val="left" w:pos="736"/>
              </w:tabs>
              <w:jc w:val="center"/>
              <w:rPr>
                <w:b/>
                <w:bCs/>
                <w:sz w:val="18"/>
                <w:szCs w:val="18"/>
                <w:lang w:val="ro-MD"/>
              </w:rPr>
            </w:pPr>
            <w:r w:rsidRPr="005C26D0">
              <w:rPr>
                <w:b/>
                <w:bCs/>
                <w:sz w:val="18"/>
                <w:szCs w:val="18"/>
                <w:lang w:val="ro-MD"/>
              </w:rPr>
              <w:t>5</w:t>
            </w:r>
          </w:p>
        </w:tc>
        <w:tc>
          <w:tcPr>
            <w:tcW w:w="13370" w:type="dxa"/>
          </w:tcPr>
          <w:p w14:paraId="2FEDA854" w14:textId="6C0F4AEA" w:rsidR="005736A5" w:rsidRPr="005C26D0" w:rsidRDefault="005736A5" w:rsidP="00100467">
            <w:pPr>
              <w:jc w:val="both"/>
              <w:rPr>
                <w:b/>
                <w:bCs/>
                <w:sz w:val="18"/>
                <w:szCs w:val="18"/>
                <w:lang w:val="ro-MD"/>
              </w:rPr>
            </w:pPr>
            <w:r w:rsidRPr="005C26D0">
              <w:rPr>
                <w:b/>
                <w:bCs/>
                <w:sz w:val="18"/>
                <w:szCs w:val="18"/>
                <w:lang w:val="ro-MD"/>
              </w:rPr>
              <w:t xml:space="preserve">Data întocmirii/actualizării </w:t>
            </w:r>
            <w:r w:rsidRPr="005C26D0">
              <w:rPr>
                <w:sz w:val="18"/>
                <w:szCs w:val="18"/>
                <w:lang w:val="ro-MD"/>
              </w:rPr>
              <w:t xml:space="preserve">– </w:t>
            </w:r>
            <w:r w:rsidR="000876C4" w:rsidRPr="005C26D0">
              <w:rPr>
                <w:sz w:val="18"/>
                <w:szCs w:val="18"/>
                <w:lang w:val="ro-MD"/>
              </w:rPr>
              <w:t>0</w:t>
            </w:r>
            <w:r w:rsidR="0065218C">
              <w:rPr>
                <w:sz w:val="18"/>
                <w:szCs w:val="18"/>
                <w:lang w:val="ro-MD"/>
              </w:rPr>
              <w:t>1</w:t>
            </w:r>
            <w:r w:rsidRPr="005C26D0">
              <w:rPr>
                <w:sz w:val="18"/>
                <w:szCs w:val="18"/>
                <w:lang w:val="ro-MD"/>
              </w:rPr>
              <w:t>.</w:t>
            </w:r>
            <w:r w:rsidR="0065218C">
              <w:rPr>
                <w:sz w:val="18"/>
                <w:szCs w:val="18"/>
                <w:lang w:val="ro-MD"/>
              </w:rPr>
              <w:t>12</w:t>
            </w:r>
            <w:r w:rsidRPr="005C26D0">
              <w:rPr>
                <w:sz w:val="18"/>
                <w:szCs w:val="18"/>
                <w:lang w:val="ro-MD"/>
              </w:rPr>
              <w:t>.202</w:t>
            </w:r>
            <w:r w:rsidR="00643F80" w:rsidRPr="005C26D0">
              <w:rPr>
                <w:sz w:val="18"/>
                <w:szCs w:val="18"/>
                <w:lang w:val="ro-MD"/>
              </w:rPr>
              <w:t>5</w:t>
            </w:r>
          </w:p>
        </w:tc>
      </w:tr>
    </w:tbl>
    <w:p w14:paraId="0EBC9932" w14:textId="77777777" w:rsidR="005F3A73" w:rsidRPr="005C26D0" w:rsidRDefault="005F3A73" w:rsidP="005F3A73">
      <w:pPr>
        <w:jc w:val="both"/>
        <w:rPr>
          <w:vanish/>
          <w:sz w:val="18"/>
          <w:szCs w:val="18"/>
          <w:lang w:val="ro-MD"/>
        </w:rPr>
      </w:pPr>
    </w:p>
    <w:p w14:paraId="744DD180" w14:textId="77777777" w:rsidR="005F3A73" w:rsidRPr="005C26D0" w:rsidRDefault="005F3A73" w:rsidP="005F3A73">
      <w:pPr>
        <w:jc w:val="both"/>
        <w:rPr>
          <w:vanish/>
          <w:sz w:val="18"/>
          <w:szCs w:val="18"/>
          <w:lang w:val="ro-MD"/>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3685"/>
        <w:gridCol w:w="1229"/>
        <w:gridCol w:w="5292"/>
      </w:tblGrid>
      <w:tr w:rsidR="001A4DE8" w:rsidRPr="005C26D0" w14:paraId="0194AA20" w14:textId="77777777" w:rsidTr="003F5B3C">
        <w:trPr>
          <w:trHeight w:val="723"/>
          <w:tblHeader/>
        </w:trPr>
        <w:tc>
          <w:tcPr>
            <w:tcW w:w="4253" w:type="dxa"/>
          </w:tcPr>
          <w:p w14:paraId="264A8A14" w14:textId="66DB991C" w:rsidR="001A4DE8" w:rsidRPr="005C26D0" w:rsidRDefault="001A4DE8" w:rsidP="005F3A73">
            <w:pPr>
              <w:jc w:val="both"/>
              <w:rPr>
                <w:b/>
                <w:bCs/>
                <w:sz w:val="18"/>
                <w:szCs w:val="18"/>
                <w:lang w:val="ro-MD"/>
              </w:rPr>
            </w:pPr>
            <w:r w:rsidRPr="005C26D0">
              <w:rPr>
                <w:b/>
                <w:bCs/>
                <w:sz w:val="18"/>
                <w:szCs w:val="18"/>
                <w:lang w:val="ro-MD"/>
              </w:rPr>
              <w:lastRenderedPageBreak/>
              <w:t>Actul Uniunii Europene</w:t>
            </w:r>
          </w:p>
        </w:tc>
        <w:tc>
          <w:tcPr>
            <w:tcW w:w="3685" w:type="dxa"/>
          </w:tcPr>
          <w:p w14:paraId="35F32FCF" w14:textId="3FA3AFDC" w:rsidR="001A4DE8" w:rsidRPr="005C26D0" w:rsidRDefault="001A4DE8" w:rsidP="005F3A73">
            <w:pPr>
              <w:jc w:val="both"/>
              <w:rPr>
                <w:bCs/>
                <w:sz w:val="18"/>
                <w:szCs w:val="18"/>
                <w:lang w:val="ro-MD"/>
              </w:rPr>
            </w:pPr>
            <w:r w:rsidRPr="005C26D0">
              <w:rPr>
                <w:b/>
                <w:bCs/>
                <w:sz w:val="18"/>
                <w:szCs w:val="18"/>
                <w:lang w:val="ro-MD"/>
              </w:rPr>
              <w:t xml:space="preserve">Proiectul de act normativ </w:t>
            </w:r>
            <w:proofErr w:type="spellStart"/>
            <w:r w:rsidRPr="005C26D0">
              <w:rPr>
                <w:b/>
                <w:bCs/>
                <w:sz w:val="18"/>
                <w:szCs w:val="18"/>
                <w:lang w:val="ro-MD"/>
              </w:rPr>
              <w:t>naţional</w:t>
            </w:r>
            <w:proofErr w:type="spellEnd"/>
          </w:p>
        </w:tc>
        <w:tc>
          <w:tcPr>
            <w:tcW w:w="1229" w:type="dxa"/>
          </w:tcPr>
          <w:p w14:paraId="4D7DEA05" w14:textId="628B8B29" w:rsidR="001A4DE8" w:rsidRPr="005C26D0" w:rsidRDefault="001A4DE8" w:rsidP="003F5B3C">
            <w:pPr>
              <w:ind w:left="-84" w:right="-112"/>
              <w:rPr>
                <w:b/>
                <w:bCs/>
                <w:sz w:val="18"/>
                <w:szCs w:val="18"/>
                <w:lang w:val="ro-MD"/>
              </w:rPr>
            </w:pPr>
            <w:r w:rsidRPr="005C26D0">
              <w:rPr>
                <w:b/>
                <w:bCs/>
                <w:sz w:val="18"/>
                <w:szCs w:val="18"/>
                <w:lang w:val="ro-MD"/>
              </w:rPr>
              <w:t>Gradul de compatibilitate</w:t>
            </w:r>
          </w:p>
        </w:tc>
        <w:tc>
          <w:tcPr>
            <w:tcW w:w="5292" w:type="dxa"/>
          </w:tcPr>
          <w:p w14:paraId="5970B66C" w14:textId="5D20B4B2" w:rsidR="001A4DE8" w:rsidRPr="005C26D0" w:rsidRDefault="001A4DE8" w:rsidP="005F3A73">
            <w:pPr>
              <w:jc w:val="both"/>
              <w:rPr>
                <w:b/>
                <w:bCs/>
                <w:sz w:val="18"/>
                <w:szCs w:val="18"/>
                <w:lang w:val="ro-MD"/>
              </w:rPr>
            </w:pPr>
            <w:proofErr w:type="spellStart"/>
            <w:r w:rsidRPr="005C26D0">
              <w:rPr>
                <w:b/>
                <w:bCs/>
                <w:sz w:val="18"/>
                <w:szCs w:val="18"/>
                <w:lang w:val="ro-MD"/>
              </w:rPr>
              <w:t>Observaţiile</w:t>
            </w:r>
            <w:proofErr w:type="spellEnd"/>
          </w:p>
        </w:tc>
      </w:tr>
      <w:tr w:rsidR="001A4DE8" w:rsidRPr="005C26D0" w14:paraId="51A90453" w14:textId="77777777" w:rsidTr="003F5B3C">
        <w:trPr>
          <w:tblHeader/>
        </w:trPr>
        <w:tc>
          <w:tcPr>
            <w:tcW w:w="4253" w:type="dxa"/>
          </w:tcPr>
          <w:p w14:paraId="5DE61B1A" w14:textId="4655981F" w:rsidR="001A4DE8" w:rsidRPr="005C26D0" w:rsidRDefault="001A4DE8" w:rsidP="005F3A73">
            <w:pPr>
              <w:pStyle w:val="BodyTextIndent"/>
              <w:spacing w:before="0"/>
              <w:ind w:firstLine="0"/>
              <w:rPr>
                <w:rFonts w:eastAsia="MS Mincho"/>
                <w:b/>
                <w:sz w:val="18"/>
                <w:szCs w:val="18"/>
                <w:lang w:val="ro-MD"/>
              </w:rPr>
            </w:pPr>
            <w:r w:rsidRPr="005C26D0">
              <w:rPr>
                <w:rFonts w:eastAsia="MS Mincho"/>
                <w:b/>
                <w:sz w:val="18"/>
                <w:szCs w:val="18"/>
                <w:lang w:val="ro-MD"/>
              </w:rPr>
              <w:t>6</w:t>
            </w:r>
          </w:p>
        </w:tc>
        <w:tc>
          <w:tcPr>
            <w:tcW w:w="3685" w:type="dxa"/>
          </w:tcPr>
          <w:p w14:paraId="2DA2B260" w14:textId="6E83FECC" w:rsidR="001A4DE8" w:rsidRPr="005C26D0" w:rsidRDefault="001A4DE8" w:rsidP="005F3A73">
            <w:pPr>
              <w:pStyle w:val="PlainText"/>
              <w:jc w:val="both"/>
              <w:rPr>
                <w:rFonts w:ascii="Times New Roman" w:eastAsia="MS Mincho" w:hAnsi="Times New Roman" w:cs="Times New Roman"/>
                <w:b/>
                <w:sz w:val="18"/>
                <w:szCs w:val="18"/>
                <w:lang w:val="ro-MD"/>
              </w:rPr>
            </w:pPr>
            <w:r w:rsidRPr="005C26D0">
              <w:rPr>
                <w:rFonts w:ascii="Times New Roman" w:eastAsia="MS Mincho" w:hAnsi="Times New Roman" w:cs="Times New Roman"/>
                <w:b/>
                <w:sz w:val="18"/>
                <w:szCs w:val="18"/>
                <w:lang w:val="ro-MD"/>
              </w:rPr>
              <w:t>7</w:t>
            </w:r>
          </w:p>
        </w:tc>
        <w:tc>
          <w:tcPr>
            <w:tcW w:w="1229" w:type="dxa"/>
          </w:tcPr>
          <w:p w14:paraId="55A1C645" w14:textId="2ABE9273" w:rsidR="001A4DE8" w:rsidRPr="005C26D0" w:rsidRDefault="001A4DE8" w:rsidP="005F3A73">
            <w:pPr>
              <w:jc w:val="both"/>
              <w:rPr>
                <w:b/>
                <w:sz w:val="18"/>
                <w:szCs w:val="18"/>
                <w:lang w:val="ro-MD"/>
              </w:rPr>
            </w:pPr>
            <w:r w:rsidRPr="005C26D0">
              <w:rPr>
                <w:b/>
                <w:sz w:val="18"/>
                <w:szCs w:val="18"/>
                <w:lang w:val="ro-MD"/>
              </w:rPr>
              <w:t>8</w:t>
            </w:r>
          </w:p>
        </w:tc>
        <w:tc>
          <w:tcPr>
            <w:tcW w:w="5292" w:type="dxa"/>
            <w:tcBorders>
              <w:bottom w:val="single" w:sz="4" w:space="0" w:color="auto"/>
            </w:tcBorders>
          </w:tcPr>
          <w:p w14:paraId="49B7B2E6" w14:textId="1AAC2CCF" w:rsidR="001A4DE8" w:rsidRPr="005C26D0" w:rsidRDefault="001A4DE8" w:rsidP="005F3A73">
            <w:pPr>
              <w:jc w:val="both"/>
              <w:rPr>
                <w:b/>
                <w:sz w:val="18"/>
                <w:szCs w:val="18"/>
                <w:lang w:val="ro-MD"/>
              </w:rPr>
            </w:pPr>
            <w:r w:rsidRPr="005C26D0">
              <w:rPr>
                <w:b/>
                <w:sz w:val="18"/>
                <w:szCs w:val="18"/>
                <w:lang w:val="ro-MD"/>
              </w:rPr>
              <w:t>9</w:t>
            </w:r>
          </w:p>
        </w:tc>
      </w:tr>
      <w:tr w:rsidR="002D6B17" w:rsidRPr="00274BD4" w14:paraId="4F991CA2" w14:textId="77777777" w:rsidTr="0043350C">
        <w:trPr>
          <w:tblHeader/>
        </w:trPr>
        <w:tc>
          <w:tcPr>
            <w:tcW w:w="4253" w:type="dxa"/>
            <w:vAlign w:val="center"/>
          </w:tcPr>
          <w:p w14:paraId="015320EE" w14:textId="3F0C71A5" w:rsidR="002D6B17" w:rsidRPr="005C26D0" w:rsidRDefault="002D6B17" w:rsidP="002D6B17">
            <w:pPr>
              <w:pStyle w:val="BodyTextIndent"/>
              <w:spacing w:before="0"/>
              <w:ind w:firstLine="0"/>
              <w:rPr>
                <w:rFonts w:eastAsia="MS Mincho"/>
                <w:b/>
                <w:sz w:val="18"/>
                <w:szCs w:val="18"/>
                <w:lang w:val="ro-MD"/>
              </w:rPr>
            </w:pPr>
            <w:r w:rsidRPr="0065218C">
              <w:rPr>
                <w:b/>
                <w:bCs/>
                <w:sz w:val="18"/>
                <w:szCs w:val="18"/>
                <w:lang w:val="ro-MD"/>
              </w:rPr>
              <w:t xml:space="preserve">REGULAMENTUL DELEGAT (UE) 2021/931 AL COMISIEI din 1 martie 2021 de completare a Regulamentului (UE) nr. 575/2013 al Parlamentului European și al Consiliului în ceea ce privește standardele tehnice de reglementare care specifică metoda de identificare a tranzacțiilor cu instrumente financiare derivate cu unul sau mai mulți determinanți de risc semnificativi în sensul articolului 277 alineatul (5), formula pentru a calcula delta reglementat al opțiunilor </w:t>
            </w:r>
            <w:proofErr w:type="spellStart"/>
            <w:r w:rsidRPr="0065218C">
              <w:rPr>
                <w:b/>
                <w:bCs/>
                <w:sz w:val="18"/>
                <w:szCs w:val="18"/>
                <w:lang w:val="ro-MD"/>
              </w:rPr>
              <w:t>call</w:t>
            </w:r>
            <w:proofErr w:type="spellEnd"/>
            <w:r w:rsidRPr="0065218C">
              <w:rPr>
                <w:b/>
                <w:bCs/>
                <w:sz w:val="18"/>
                <w:szCs w:val="18"/>
                <w:lang w:val="ro-MD"/>
              </w:rPr>
              <w:t xml:space="preserve"> și put încadrate în categoria de risc de rată a dobânzii și metoda pentru a stabili dacă o tranzacție este o poziție lungă sau scurtă pe determinantul de risc principal sau pe cel mai semnificativ determinant de risc într-o anumită categorie de risc în sensul articolului 279a alineatul (3) literele (a) și (b) în cadrul abordării standardizate pentru riscul de credit al </w:t>
            </w:r>
            <w:proofErr w:type="spellStart"/>
            <w:r w:rsidRPr="0065218C">
              <w:rPr>
                <w:b/>
                <w:bCs/>
                <w:sz w:val="18"/>
                <w:szCs w:val="18"/>
                <w:lang w:val="ro-MD"/>
              </w:rPr>
              <w:t>contrapărții</w:t>
            </w:r>
            <w:proofErr w:type="spellEnd"/>
            <w:r>
              <w:rPr>
                <w:b/>
                <w:bCs/>
                <w:sz w:val="18"/>
                <w:szCs w:val="18"/>
                <w:lang w:val="ro-MD"/>
              </w:rPr>
              <w:t xml:space="preserve">, CELEX 02021R0931, </w:t>
            </w:r>
            <w:proofErr w:type="spellStart"/>
            <w:r w:rsidRPr="005C26D0">
              <w:rPr>
                <w:b/>
                <w:bCs/>
                <w:sz w:val="18"/>
                <w:szCs w:val="18"/>
                <w:lang w:val="en-US"/>
              </w:rPr>
              <w:t>astfel</w:t>
            </w:r>
            <w:proofErr w:type="spellEnd"/>
            <w:r w:rsidRPr="005C26D0">
              <w:rPr>
                <w:b/>
                <w:bCs/>
                <w:sz w:val="18"/>
                <w:szCs w:val="18"/>
                <w:lang w:val="en-US"/>
              </w:rPr>
              <w:t xml:space="preserve"> cum a </w:t>
            </w:r>
            <w:proofErr w:type="spellStart"/>
            <w:r w:rsidRPr="005C26D0">
              <w:rPr>
                <w:b/>
                <w:bCs/>
                <w:sz w:val="18"/>
                <w:szCs w:val="18"/>
                <w:lang w:val="en-US"/>
              </w:rPr>
              <w:t>fost</w:t>
            </w:r>
            <w:proofErr w:type="spellEnd"/>
            <w:r w:rsidRPr="005C26D0">
              <w:rPr>
                <w:b/>
                <w:bCs/>
                <w:sz w:val="18"/>
                <w:szCs w:val="18"/>
                <w:lang w:val="en-US"/>
              </w:rPr>
              <w:t xml:space="preserve"> </w:t>
            </w:r>
            <w:proofErr w:type="spellStart"/>
            <w:r w:rsidRPr="005C26D0">
              <w:rPr>
                <w:b/>
                <w:bCs/>
                <w:sz w:val="18"/>
                <w:szCs w:val="18"/>
                <w:lang w:val="en-US"/>
              </w:rPr>
              <w:t>modificat</w:t>
            </w:r>
            <w:proofErr w:type="spellEnd"/>
            <w:r w:rsidRPr="005C26D0">
              <w:rPr>
                <w:b/>
                <w:bCs/>
                <w:sz w:val="18"/>
                <w:szCs w:val="18"/>
                <w:lang w:val="en-US"/>
              </w:rPr>
              <w:t xml:space="preserve"> </w:t>
            </w:r>
            <w:proofErr w:type="spellStart"/>
            <w:r w:rsidRPr="005C26D0">
              <w:rPr>
                <w:b/>
                <w:bCs/>
                <w:sz w:val="18"/>
                <w:szCs w:val="18"/>
                <w:lang w:val="en-US"/>
              </w:rPr>
              <w:t>prin</w:t>
            </w:r>
            <w:proofErr w:type="spellEnd"/>
            <w:r w:rsidRPr="005C26D0">
              <w:rPr>
                <w:b/>
                <w:bCs/>
                <w:sz w:val="18"/>
                <w:szCs w:val="18"/>
                <w:lang w:val="en-US"/>
              </w:rPr>
              <w:t xml:space="preserve"> </w:t>
            </w:r>
            <w:hyperlink r:id="rId14" w:tooltip="32022R0954" w:history="1">
              <w:proofErr w:type="spellStart"/>
              <w:r w:rsidRPr="005C26D0">
                <w:rPr>
                  <w:rStyle w:val="Hyperlink"/>
                  <w:b/>
                  <w:bCs/>
                  <w:color w:val="000000" w:themeColor="text1"/>
                  <w:sz w:val="18"/>
                  <w:szCs w:val="18"/>
                  <w:u w:val="none"/>
                  <w:lang w:val="en-US"/>
                </w:rPr>
                <w:t>Regulamentul</w:t>
              </w:r>
              <w:proofErr w:type="spellEnd"/>
              <w:r w:rsidRPr="005C26D0">
                <w:rPr>
                  <w:rStyle w:val="Hyperlink"/>
                  <w:b/>
                  <w:bCs/>
                  <w:color w:val="000000" w:themeColor="text1"/>
                  <w:sz w:val="18"/>
                  <w:szCs w:val="18"/>
                  <w:u w:val="none"/>
                  <w:lang w:val="en-US"/>
                </w:rPr>
                <w:t xml:space="preserve"> </w:t>
              </w:r>
              <w:proofErr w:type="spellStart"/>
              <w:r w:rsidRPr="005C26D0">
                <w:rPr>
                  <w:rStyle w:val="Hyperlink"/>
                  <w:b/>
                  <w:bCs/>
                  <w:color w:val="000000" w:themeColor="text1"/>
                  <w:sz w:val="18"/>
                  <w:szCs w:val="18"/>
                  <w:u w:val="none"/>
                  <w:lang w:val="en-US"/>
                </w:rPr>
                <w:t>delegat</w:t>
              </w:r>
              <w:proofErr w:type="spellEnd"/>
              <w:r w:rsidRPr="005C26D0">
                <w:rPr>
                  <w:rStyle w:val="Hyperlink"/>
                  <w:b/>
                  <w:bCs/>
                  <w:color w:val="000000" w:themeColor="text1"/>
                  <w:sz w:val="18"/>
                  <w:szCs w:val="18"/>
                  <w:u w:val="none"/>
                  <w:lang w:val="en-US"/>
                </w:rPr>
                <w:t xml:space="preserve"> (UE) 202</w:t>
              </w:r>
              <w:r>
                <w:rPr>
                  <w:rStyle w:val="Hyperlink"/>
                  <w:b/>
                  <w:bCs/>
                  <w:color w:val="000000" w:themeColor="text1"/>
                  <w:sz w:val="18"/>
                  <w:szCs w:val="18"/>
                  <w:u w:val="none"/>
                  <w:lang w:val="en-US"/>
                </w:rPr>
                <w:t>5</w:t>
              </w:r>
              <w:r w:rsidRPr="005C26D0">
                <w:rPr>
                  <w:rStyle w:val="Hyperlink"/>
                  <w:b/>
                  <w:bCs/>
                  <w:color w:val="000000" w:themeColor="text1"/>
                  <w:sz w:val="18"/>
                  <w:szCs w:val="18"/>
                  <w:u w:val="none"/>
                  <w:lang w:val="en-US"/>
                </w:rPr>
                <w:t>/</w:t>
              </w:r>
              <w:r>
                <w:rPr>
                  <w:rStyle w:val="Hyperlink"/>
                  <w:b/>
                  <w:bCs/>
                  <w:color w:val="000000" w:themeColor="text1"/>
                  <w:sz w:val="18"/>
                  <w:szCs w:val="18"/>
                  <w:u w:val="none"/>
                  <w:lang w:val="en-US"/>
                </w:rPr>
                <w:t>855</w:t>
              </w:r>
              <w:r w:rsidRPr="005C26D0">
                <w:rPr>
                  <w:rStyle w:val="Hyperlink"/>
                  <w:b/>
                  <w:bCs/>
                  <w:color w:val="000000" w:themeColor="text1"/>
                  <w:sz w:val="18"/>
                  <w:szCs w:val="18"/>
                  <w:u w:val="none"/>
                  <w:lang w:val="en-US"/>
                </w:rPr>
                <w:t xml:space="preserve"> al </w:t>
              </w:r>
              <w:proofErr w:type="spellStart"/>
              <w:r w:rsidRPr="005C26D0">
                <w:rPr>
                  <w:rStyle w:val="Hyperlink"/>
                  <w:b/>
                  <w:bCs/>
                  <w:color w:val="000000" w:themeColor="text1"/>
                  <w:sz w:val="18"/>
                  <w:szCs w:val="18"/>
                  <w:u w:val="none"/>
                  <w:lang w:val="en-US"/>
                </w:rPr>
                <w:t>comisiei</w:t>
              </w:r>
              <w:proofErr w:type="spellEnd"/>
              <w:r w:rsidRPr="005C26D0">
                <w:rPr>
                  <w:rStyle w:val="Hyperlink"/>
                  <w:b/>
                  <w:bCs/>
                  <w:color w:val="000000" w:themeColor="text1"/>
                  <w:sz w:val="18"/>
                  <w:szCs w:val="18"/>
                  <w:u w:val="none"/>
                  <w:lang w:val="en-US"/>
                </w:rPr>
                <w:t xml:space="preserve"> din </w:t>
              </w:r>
              <w:r>
                <w:rPr>
                  <w:rStyle w:val="Hyperlink"/>
                  <w:b/>
                  <w:bCs/>
                  <w:color w:val="000000" w:themeColor="text1"/>
                  <w:sz w:val="18"/>
                  <w:szCs w:val="18"/>
                  <w:u w:val="none"/>
                  <w:lang w:val="en-US"/>
                </w:rPr>
                <w:t xml:space="preserve">28 </w:t>
              </w:r>
              <w:proofErr w:type="spellStart"/>
              <w:r>
                <w:rPr>
                  <w:rStyle w:val="Hyperlink"/>
                  <w:b/>
                  <w:bCs/>
                  <w:color w:val="000000" w:themeColor="text1"/>
                  <w:sz w:val="18"/>
                  <w:szCs w:val="18"/>
                  <w:u w:val="none"/>
                  <w:lang w:val="en-US"/>
                </w:rPr>
                <w:t>ianuarie</w:t>
              </w:r>
              <w:proofErr w:type="spellEnd"/>
              <w:r>
                <w:rPr>
                  <w:rStyle w:val="Hyperlink"/>
                  <w:b/>
                  <w:bCs/>
                  <w:color w:val="000000" w:themeColor="text1"/>
                  <w:sz w:val="18"/>
                  <w:szCs w:val="18"/>
                  <w:u w:val="none"/>
                  <w:lang w:val="en-US"/>
                </w:rPr>
                <w:t xml:space="preserve"> 2025</w:t>
              </w:r>
            </w:hyperlink>
          </w:p>
        </w:tc>
        <w:tc>
          <w:tcPr>
            <w:tcW w:w="3685" w:type="dxa"/>
          </w:tcPr>
          <w:p w14:paraId="6D22FDA2" w14:textId="1C2B75EB" w:rsidR="002D6B17" w:rsidRPr="005C26D0" w:rsidRDefault="00A25439" w:rsidP="002D6B17">
            <w:pPr>
              <w:pStyle w:val="PlainText"/>
              <w:jc w:val="both"/>
              <w:rPr>
                <w:rFonts w:ascii="Times New Roman" w:eastAsia="MS Mincho" w:hAnsi="Times New Roman" w:cs="Times New Roman"/>
                <w:b/>
                <w:sz w:val="18"/>
                <w:szCs w:val="18"/>
                <w:lang w:val="ro-MD"/>
              </w:rPr>
            </w:pPr>
            <w:r w:rsidRPr="00A25439">
              <w:rPr>
                <w:rFonts w:ascii="Times New Roman" w:hAnsi="Times New Roman" w:cs="Times New Roman"/>
                <w:b/>
                <w:bCs/>
                <w:sz w:val="18"/>
                <w:szCs w:val="18"/>
                <w:lang w:val="ro-MD"/>
              </w:rPr>
              <w:t>Proiectul Hotărârii Comitetului executiv al Băncii Naționale a Moldovei „</w:t>
            </w:r>
            <w:r w:rsidRPr="00A25439">
              <w:rPr>
                <w:rFonts w:ascii="Times New Roman" w:hAnsi="Times New Roman" w:cs="Times New Roman"/>
                <w:b/>
                <w:bCs/>
                <w:sz w:val="18"/>
                <w:szCs w:val="18"/>
                <w:lang w:val="ro-RO"/>
              </w:rPr>
              <w:t xml:space="preserve">Pentru </w:t>
            </w:r>
            <w:r w:rsidRPr="00A25439">
              <w:rPr>
                <w:rFonts w:ascii="Times New Roman" w:hAnsi="Times New Roman" w:cs="Times New Roman"/>
                <w:b/>
                <w:bCs/>
                <w:sz w:val="18"/>
                <w:szCs w:val="18"/>
                <w:lang w:val="ro-MD"/>
              </w:rPr>
              <w:t>modificarea</w:t>
            </w:r>
            <w:r w:rsidRPr="00A25439">
              <w:rPr>
                <w:rFonts w:ascii="Times New Roman" w:hAnsi="Times New Roman" w:cs="Times New Roman"/>
                <w:b/>
                <w:bCs/>
                <w:sz w:val="18"/>
                <w:szCs w:val="18"/>
                <w:lang w:val="ro-RO"/>
              </w:rPr>
              <w:t xml:space="preserve"> unor acte normative ale </w:t>
            </w:r>
            <w:r w:rsidRPr="00A25439">
              <w:rPr>
                <w:rFonts w:ascii="Times New Roman" w:hAnsi="Times New Roman" w:cs="Times New Roman"/>
                <w:b/>
                <w:bCs/>
                <w:sz w:val="18"/>
                <w:szCs w:val="18"/>
                <w:lang w:val="ro-MD"/>
              </w:rPr>
              <w:t xml:space="preserve">Băncii Naționale a Moldovei” </w:t>
            </w:r>
            <w:r w:rsidRPr="00AF7168">
              <w:rPr>
                <w:rFonts w:ascii="Times New Roman" w:hAnsi="Times New Roman" w:cs="Times New Roman"/>
                <w:b/>
                <w:bCs/>
                <w:sz w:val="18"/>
                <w:szCs w:val="18"/>
                <w:lang w:val="ro-RO"/>
              </w:rPr>
              <w:t>(modificarea Regulamentului cu privire la tratamentul</w:t>
            </w:r>
            <w:r w:rsidRPr="00A25439">
              <w:rPr>
                <w:rFonts w:ascii="Times New Roman" w:hAnsi="Times New Roman" w:cs="Times New Roman"/>
                <w:b/>
                <w:bCs/>
                <w:sz w:val="18"/>
                <w:szCs w:val="18"/>
                <w:lang w:val="ro-RO"/>
              </w:rPr>
              <w:t xml:space="preserve"> </w:t>
            </w:r>
            <w:r w:rsidRPr="00AF7168">
              <w:rPr>
                <w:rFonts w:ascii="Times New Roman" w:hAnsi="Times New Roman" w:cs="Times New Roman"/>
                <w:b/>
                <w:bCs/>
                <w:sz w:val="18"/>
                <w:szCs w:val="18"/>
                <w:lang w:val="ro-RO"/>
              </w:rPr>
              <w:t xml:space="preserve">riscului </w:t>
            </w:r>
            <w:r w:rsidRPr="00A25439">
              <w:rPr>
                <w:rFonts w:ascii="Times New Roman" w:hAnsi="Times New Roman" w:cs="Times New Roman"/>
                <w:b/>
                <w:bCs/>
                <w:sz w:val="18"/>
                <w:szCs w:val="18"/>
                <w:lang w:val="ro-MD"/>
              </w:rPr>
              <w:t xml:space="preserve">de credit al </w:t>
            </w:r>
            <w:proofErr w:type="spellStart"/>
            <w:r w:rsidRPr="00A25439">
              <w:rPr>
                <w:rFonts w:ascii="Times New Roman" w:hAnsi="Times New Roman" w:cs="Times New Roman"/>
                <w:b/>
                <w:bCs/>
                <w:sz w:val="18"/>
                <w:szCs w:val="18"/>
                <w:lang w:val="ro-MD"/>
              </w:rPr>
              <w:t>contrapărţii</w:t>
            </w:r>
            <w:proofErr w:type="spellEnd"/>
            <w:r w:rsidRPr="00A25439">
              <w:rPr>
                <w:rFonts w:ascii="Times New Roman" w:hAnsi="Times New Roman" w:cs="Times New Roman"/>
                <w:b/>
                <w:bCs/>
                <w:sz w:val="18"/>
                <w:szCs w:val="18"/>
                <w:lang w:val="ro-RO"/>
              </w:rPr>
              <w:t xml:space="preserve"> </w:t>
            </w:r>
            <w:r w:rsidRPr="00AF7168">
              <w:rPr>
                <w:rFonts w:ascii="Times New Roman" w:hAnsi="Times New Roman" w:cs="Times New Roman"/>
                <w:b/>
                <w:bCs/>
                <w:sz w:val="18"/>
                <w:szCs w:val="18"/>
                <w:lang w:val="ro-RO"/>
              </w:rPr>
              <w:t xml:space="preserve">și </w:t>
            </w:r>
            <w:r w:rsidRPr="00A25439">
              <w:rPr>
                <w:rFonts w:ascii="Times New Roman" w:hAnsi="Times New Roman" w:cs="Times New Roman"/>
                <w:b/>
                <w:bCs/>
                <w:sz w:val="18"/>
                <w:szCs w:val="18"/>
                <w:lang w:val="ro-RO"/>
              </w:rPr>
              <w:t>Instrucțiunea cu privire la prezentarea de către bănci a rapoartelor COREP în scopuri de supraveghere</w:t>
            </w:r>
            <w:r w:rsidRPr="00A25439">
              <w:rPr>
                <w:rFonts w:ascii="Times New Roman" w:hAnsi="Times New Roman" w:cs="Times New Roman"/>
                <w:b/>
                <w:bCs/>
                <w:sz w:val="18"/>
                <w:szCs w:val="18"/>
                <w:lang w:val="ro-MD"/>
              </w:rPr>
              <w:t xml:space="preserve">) </w:t>
            </w:r>
          </w:p>
        </w:tc>
        <w:tc>
          <w:tcPr>
            <w:tcW w:w="1229" w:type="dxa"/>
          </w:tcPr>
          <w:p w14:paraId="72693260" w14:textId="77777777" w:rsidR="002D6B17" w:rsidRPr="005C26D0" w:rsidRDefault="002D6B17" w:rsidP="002D6B17">
            <w:pPr>
              <w:jc w:val="both"/>
              <w:rPr>
                <w:b/>
                <w:sz w:val="18"/>
                <w:szCs w:val="18"/>
                <w:lang w:val="ro-MD"/>
              </w:rPr>
            </w:pPr>
          </w:p>
        </w:tc>
        <w:tc>
          <w:tcPr>
            <w:tcW w:w="5292" w:type="dxa"/>
            <w:tcBorders>
              <w:bottom w:val="single" w:sz="4" w:space="0" w:color="auto"/>
            </w:tcBorders>
          </w:tcPr>
          <w:p w14:paraId="48BE824A" w14:textId="77777777" w:rsidR="002D6B17" w:rsidRPr="005C26D0" w:rsidRDefault="002D6B17" w:rsidP="002D6B17">
            <w:pPr>
              <w:jc w:val="both"/>
              <w:rPr>
                <w:b/>
                <w:sz w:val="18"/>
                <w:szCs w:val="18"/>
                <w:lang w:val="ro-MD"/>
              </w:rPr>
            </w:pPr>
          </w:p>
        </w:tc>
      </w:tr>
      <w:tr w:rsidR="002D6B17" w:rsidRPr="005C26D0" w14:paraId="7A97CBB4" w14:textId="77777777" w:rsidTr="003F5B3C">
        <w:trPr>
          <w:tblHeader/>
        </w:trPr>
        <w:tc>
          <w:tcPr>
            <w:tcW w:w="4253" w:type="dxa"/>
          </w:tcPr>
          <w:p w14:paraId="3CA282A6" w14:textId="77777777" w:rsidR="002D6B17" w:rsidRPr="00B31BD6" w:rsidRDefault="002D6B17" w:rsidP="002D6B17">
            <w:pPr>
              <w:pStyle w:val="BodyTextIndent"/>
              <w:ind w:firstLine="0"/>
              <w:jc w:val="center"/>
              <w:rPr>
                <w:rFonts w:eastAsia="MS Mincho"/>
                <w:sz w:val="18"/>
                <w:szCs w:val="18"/>
                <w:lang w:val="ro-MD"/>
              </w:rPr>
            </w:pPr>
            <w:r w:rsidRPr="00B31BD6">
              <w:rPr>
                <w:rFonts w:eastAsia="MS Mincho"/>
                <w:sz w:val="18"/>
                <w:szCs w:val="18"/>
                <w:lang w:val="ro-MD"/>
              </w:rPr>
              <w:lastRenderedPageBreak/>
              <w:t>CAPITOLUL 1</w:t>
            </w:r>
          </w:p>
          <w:p w14:paraId="417AFC76" w14:textId="77777777" w:rsidR="002D6B17" w:rsidRPr="005C26D0" w:rsidRDefault="002D6B17" w:rsidP="002D6B17">
            <w:pPr>
              <w:pStyle w:val="BodyTextIndent"/>
              <w:ind w:firstLine="0"/>
              <w:jc w:val="center"/>
              <w:rPr>
                <w:rFonts w:eastAsia="MS Mincho"/>
                <w:b/>
                <w:bCs/>
                <w:sz w:val="18"/>
                <w:szCs w:val="18"/>
                <w:lang w:val="ro-MD"/>
              </w:rPr>
            </w:pPr>
            <w:r w:rsidRPr="00B31BD6">
              <w:rPr>
                <w:rFonts w:eastAsia="MS Mincho"/>
                <w:b/>
                <w:bCs/>
                <w:sz w:val="18"/>
                <w:szCs w:val="18"/>
                <w:lang w:val="ro-MD"/>
              </w:rPr>
              <w:t>Metoda de identificare a tranzacțiilor cu un singur determinant de risc semnificativ, a tranzacțiilor cu mai mult de un determinant de risc semnificativ și de identificare a celui mai semnificativ dintre respectivii determinanți de risc</w:t>
            </w:r>
          </w:p>
          <w:p w14:paraId="3EF55199" w14:textId="77777777" w:rsidR="002D6B17" w:rsidRPr="00B31BD6" w:rsidRDefault="002D6B17" w:rsidP="002D6B17">
            <w:pPr>
              <w:pStyle w:val="BodyTextIndent"/>
              <w:ind w:firstLine="0"/>
              <w:jc w:val="left"/>
              <w:rPr>
                <w:rFonts w:eastAsia="MS Mincho"/>
                <w:b/>
                <w:bCs/>
                <w:sz w:val="18"/>
                <w:szCs w:val="18"/>
                <w:lang w:val="ro-MD"/>
              </w:rPr>
            </w:pPr>
          </w:p>
          <w:p w14:paraId="36C078CA" w14:textId="3F8616A0" w:rsidR="002D6B17" w:rsidRPr="00B31BD6" w:rsidRDefault="002D6B17" w:rsidP="002D6B17">
            <w:pPr>
              <w:pStyle w:val="BodyTextIndent"/>
              <w:spacing w:before="0"/>
              <w:ind w:firstLine="0"/>
              <w:jc w:val="left"/>
              <w:rPr>
                <w:rFonts w:eastAsia="MS Mincho"/>
                <w:b/>
                <w:bCs/>
                <w:sz w:val="18"/>
                <w:szCs w:val="18"/>
                <w:lang w:val="ro-MD"/>
              </w:rPr>
            </w:pPr>
            <w:r w:rsidRPr="00B31BD6">
              <w:rPr>
                <w:rFonts w:eastAsia="MS Mincho"/>
                <w:i/>
                <w:iCs/>
                <w:sz w:val="18"/>
                <w:szCs w:val="18"/>
                <w:lang w:val="ro-MD"/>
              </w:rPr>
              <w:t>Articolul 1</w:t>
            </w:r>
            <w:r w:rsidRPr="005C26D0">
              <w:rPr>
                <w:rFonts w:eastAsia="MS Mincho"/>
                <w:b/>
                <w:bCs/>
                <w:i/>
                <w:iCs/>
                <w:sz w:val="18"/>
                <w:szCs w:val="18"/>
                <w:lang w:val="ro-MD"/>
              </w:rPr>
              <w:t xml:space="preserve"> </w:t>
            </w:r>
            <w:r w:rsidRPr="00B31BD6">
              <w:rPr>
                <w:rFonts w:eastAsia="MS Mincho"/>
                <w:b/>
                <w:bCs/>
                <w:sz w:val="18"/>
                <w:szCs w:val="18"/>
                <w:lang w:val="ro-MD"/>
              </w:rPr>
              <w:t>Metoda de identificare a determinanților de risc ai unei tranzacții cu instrumente financiare derivate</w:t>
            </w:r>
          </w:p>
          <w:p w14:paraId="7CCDE5DC" w14:textId="63CB4D51" w:rsidR="002D6B17" w:rsidRPr="00B31BD6" w:rsidRDefault="002D6B17" w:rsidP="002D6B17">
            <w:pPr>
              <w:pStyle w:val="BodyTextIndent"/>
              <w:ind w:firstLine="0"/>
              <w:jc w:val="left"/>
              <w:rPr>
                <w:rFonts w:eastAsia="MS Mincho"/>
                <w:sz w:val="18"/>
                <w:szCs w:val="18"/>
                <w:lang w:val="ro-MD"/>
              </w:rPr>
            </w:pPr>
            <w:r w:rsidRPr="00B31BD6">
              <w:rPr>
                <w:rFonts w:eastAsia="MS Mincho"/>
                <w:sz w:val="18"/>
                <w:szCs w:val="18"/>
                <w:lang w:val="ro-MD"/>
              </w:rPr>
              <w:t>(1) În vederea identificării tranzacțiilor cu un singur determinant de risc semnificativ și a tranzacțiilor cu mai mult de un determinant de risc semnificativ, instituțiile trebuie să identifice, la inițierea fiecărei tranzacții, toți determinanții de risc ai tranzacției, prin identificarea determinanților de risc de care depind fluxurile de trezorerie ale tranzacției respective, ținând cont cel puțin de determinanții de risc menționați la articolele 325l-325q din Regulamentul (UE) nr. 575/2013. Determinanții de risc identificați de instituții sunt determinanții de risc ai tranzacției.</w:t>
            </w:r>
          </w:p>
          <w:p w14:paraId="286B4115" w14:textId="32A643CD" w:rsidR="002D6B17" w:rsidRPr="00B31BD6" w:rsidRDefault="002D6B17" w:rsidP="002D6B17">
            <w:pPr>
              <w:pStyle w:val="BodyTextIndent"/>
              <w:ind w:firstLine="0"/>
              <w:jc w:val="left"/>
              <w:rPr>
                <w:rFonts w:eastAsia="MS Mincho"/>
                <w:sz w:val="18"/>
                <w:szCs w:val="18"/>
                <w:lang w:val="ro-MD"/>
              </w:rPr>
            </w:pPr>
            <w:r w:rsidRPr="00B31BD6">
              <w:rPr>
                <w:rFonts w:eastAsia="MS Mincho"/>
                <w:sz w:val="18"/>
                <w:szCs w:val="18"/>
                <w:lang w:val="ro-MD"/>
              </w:rPr>
              <w:t>(2) Instituțiile nu trebuie să considere determinanții de risc ai ratei dobânzii utilizați pentru actualizarea fluxurilor de trezorerie ale tranzacției ca fiind determinanții de risc ai tranzacției.</w:t>
            </w:r>
          </w:p>
          <w:p w14:paraId="65F5F32F" w14:textId="77777777" w:rsidR="002D6B17" w:rsidRPr="005C26D0" w:rsidRDefault="002D6B17" w:rsidP="002D6B17">
            <w:pPr>
              <w:pStyle w:val="BodyTextIndent"/>
              <w:spacing w:before="0"/>
              <w:ind w:firstLine="0"/>
              <w:jc w:val="left"/>
              <w:rPr>
                <w:rFonts w:eastAsia="MS Mincho"/>
                <w:b/>
                <w:bCs/>
                <w:sz w:val="18"/>
                <w:szCs w:val="18"/>
                <w:lang w:val="ro-MD"/>
              </w:rPr>
            </w:pPr>
          </w:p>
        </w:tc>
        <w:tc>
          <w:tcPr>
            <w:tcW w:w="3685" w:type="dxa"/>
          </w:tcPr>
          <w:p w14:paraId="064F5316" w14:textId="77777777" w:rsidR="002D6B17" w:rsidRPr="005C26D0" w:rsidRDefault="002D6B17" w:rsidP="002D6B17">
            <w:pPr>
              <w:jc w:val="right"/>
              <w:rPr>
                <w:sz w:val="18"/>
                <w:szCs w:val="18"/>
                <w:lang w:val="en-US" w:eastAsia="ro-MD"/>
              </w:rPr>
            </w:pPr>
            <w:proofErr w:type="spellStart"/>
            <w:r w:rsidRPr="005C26D0">
              <w:rPr>
                <w:i/>
                <w:iCs/>
                <w:sz w:val="18"/>
                <w:szCs w:val="18"/>
                <w:lang w:val="en-US" w:eastAsia="ro-MD"/>
              </w:rPr>
              <w:t>Anexa</w:t>
            </w:r>
            <w:proofErr w:type="spellEnd"/>
            <w:r w:rsidRPr="005C26D0">
              <w:rPr>
                <w:i/>
                <w:iCs/>
                <w:sz w:val="18"/>
                <w:szCs w:val="18"/>
                <w:lang w:val="en-US" w:eastAsia="ro-MD"/>
              </w:rPr>
              <w:t xml:space="preserve"> 2</w:t>
            </w:r>
          </w:p>
          <w:p w14:paraId="2C331FBA" w14:textId="77777777" w:rsidR="002D6B17" w:rsidRPr="005C26D0" w:rsidRDefault="002D6B17" w:rsidP="002D6B17">
            <w:pPr>
              <w:jc w:val="right"/>
              <w:rPr>
                <w:sz w:val="18"/>
                <w:szCs w:val="18"/>
                <w:lang w:val="en-US" w:eastAsia="ro-MD"/>
              </w:rPr>
            </w:pPr>
            <w:r w:rsidRPr="005C26D0">
              <w:rPr>
                <w:i/>
                <w:iCs/>
                <w:sz w:val="18"/>
                <w:szCs w:val="18"/>
                <w:lang w:val="en-US" w:eastAsia="ro-MD"/>
              </w:rPr>
              <w:t xml:space="preserve">la </w:t>
            </w:r>
            <w:proofErr w:type="spellStart"/>
            <w:r w:rsidRPr="005C26D0">
              <w:rPr>
                <w:i/>
                <w:iCs/>
                <w:sz w:val="18"/>
                <w:szCs w:val="18"/>
                <w:lang w:val="en-US" w:eastAsia="ro-MD"/>
              </w:rPr>
              <w:t>Regulamentul</w:t>
            </w:r>
            <w:proofErr w:type="spellEnd"/>
            <w:r w:rsidRPr="005C26D0">
              <w:rPr>
                <w:i/>
                <w:iCs/>
                <w:sz w:val="18"/>
                <w:szCs w:val="18"/>
                <w:lang w:val="en-US" w:eastAsia="ro-MD"/>
              </w:rPr>
              <w:t xml:space="preserve"> cu </w:t>
            </w:r>
            <w:proofErr w:type="spellStart"/>
            <w:r w:rsidRPr="005C26D0">
              <w:rPr>
                <w:i/>
                <w:iCs/>
                <w:sz w:val="18"/>
                <w:szCs w:val="18"/>
                <w:lang w:val="en-US" w:eastAsia="ro-MD"/>
              </w:rPr>
              <w:t>privire</w:t>
            </w:r>
            <w:proofErr w:type="spellEnd"/>
            <w:r w:rsidRPr="005C26D0">
              <w:rPr>
                <w:i/>
                <w:iCs/>
                <w:sz w:val="18"/>
                <w:szCs w:val="18"/>
                <w:lang w:val="en-US" w:eastAsia="ro-MD"/>
              </w:rPr>
              <w:t xml:space="preserve"> la </w:t>
            </w:r>
            <w:proofErr w:type="spellStart"/>
            <w:r w:rsidRPr="005C26D0">
              <w:rPr>
                <w:i/>
                <w:iCs/>
                <w:sz w:val="18"/>
                <w:szCs w:val="18"/>
                <w:lang w:val="en-US" w:eastAsia="ro-MD"/>
              </w:rPr>
              <w:t>tratamentul</w:t>
            </w:r>
            <w:proofErr w:type="spellEnd"/>
          </w:p>
          <w:p w14:paraId="4054E6E8" w14:textId="77777777" w:rsidR="002D6B17" w:rsidRPr="005C26D0" w:rsidRDefault="002D6B17" w:rsidP="002D6B17">
            <w:pPr>
              <w:jc w:val="right"/>
              <w:rPr>
                <w:sz w:val="18"/>
                <w:szCs w:val="18"/>
                <w:lang w:val="en-US" w:eastAsia="ro-MD"/>
              </w:rPr>
            </w:pPr>
            <w:proofErr w:type="spellStart"/>
            <w:r w:rsidRPr="005C26D0">
              <w:rPr>
                <w:i/>
                <w:iCs/>
                <w:sz w:val="18"/>
                <w:szCs w:val="18"/>
                <w:lang w:val="en-US" w:eastAsia="ro-MD"/>
              </w:rPr>
              <w:t>riscului</w:t>
            </w:r>
            <w:proofErr w:type="spellEnd"/>
            <w:r w:rsidRPr="005C26D0">
              <w:rPr>
                <w:i/>
                <w:iCs/>
                <w:sz w:val="18"/>
                <w:szCs w:val="18"/>
                <w:lang w:val="en-US" w:eastAsia="ro-MD"/>
              </w:rPr>
              <w:t xml:space="preserve"> de credit al </w:t>
            </w:r>
            <w:proofErr w:type="spellStart"/>
            <w:r w:rsidRPr="005C26D0">
              <w:rPr>
                <w:i/>
                <w:iCs/>
                <w:sz w:val="18"/>
                <w:szCs w:val="18"/>
                <w:lang w:val="en-US" w:eastAsia="ro-MD"/>
              </w:rPr>
              <w:t>contrapărţii</w:t>
            </w:r>
            <w:proofErr w:type="spellEnd"/>
            <w:r w:rsidRPr="005C26D0">
              <w:rPr>
                <w:i/>
                <w:iCs/>
                <w:sz w:val="18"/>
                <w:szCs w:val="18"/>
                <w:lang w:val="en-US" w:eastAsia="ro-MD"/>
              </w:rPr>
              <w:t xml:space="preserve"> </w:t>
            </w:r>
            <w:proofErr w:type="spellStart"/>
            <w:r w:rsidRPr="005C26D0">
              <w:rPr>
                <w:i/>
                <w:iCs/>
                <w:sz w:val="18"/>
                <w:szCs w:val="18"/>
                <w:lang w:val="en-US" w:eastAsia="ro-MD"/>
              </w:rPr>
              <w:t>pentru</w:t>
            </w:r>
            <w:proofErr w:type="spellEnd"/>
            <w:r w:rsidRPr="005C26D0">
              <w:rPr>
                <w:i/>
                <w:iCs/>
                <w:sz w:val="18"/>
                <w:szCs w:val="18"/>
                <w:lang w:val="en-US" w:eastAsia="ro-MD"/>
              </w:rPr>
              <w:t xml:space="preserve"> </w:t>
            </w:r>
            <w:proofErr w:type="spellStart"/>
            <w:r w:rsidRPr="005C26D0">
              <w:rPr>
                <w:i/>
                <w:iCs/>
                <w:sz w:val="18"/>
                <w:szCs w:val="18"/>
                <w:lang w:val="en-US" w:eastAsia="ro-MD"/>
              </w:rPr>
              <w:t>bănci</w:t>
            </w:r>
            <w:proofErr w:type="spellEnd"/>
          </w:p>
          <w:p w14:paraId="142B1EF0" w14:textId="77777777" w:rsidR="002D6B17" w:rsidRPr="005C26D0" w:rsidRDefault="002D6B17" w:rsidP="002D6B17">
            <w:pPr>
              <w:rPr>
                <w:b/>
                <w:bCs/>
                <w:sz w:val="18"/>
                <w:szCs w:val="18"/>
                <w:lang w:val="en-US"/>
              </w:rPr>
            </w:pPr>
          </w:p>
          <w:p w14:paraId="554E89B2" w14:textId="77777777" w:rsidR="002D6B17" w:rsidRPr="005C26D0" w:rsidRDefault="002D6B17" w:rsidP="002D6B17">
            <w:pPr>
              <w:jc w:val="center"/>
              <w:rPr>
                <w:b/>
                <w:bCs/>
                <w:sz w:val="18"/>
                <w:szCs w:val="18"/>
                <w:lang w:val="en-US"/>
              </w:rPr>
            </w:pPr>
            <w:proofErr w:type="spellStart"/>
            <w:r w:rsidRPr="005C26D0">
              <w:rPr>
                <w:b/>
                <w:bCs/>
                <w:sz w:val="18"/>
                <w:szCs w:val="18"/>
                <w:lang w:val="en-US"/>
              </w:rPr>
              <w:t>Standardele</w:t>
            </w:r>
            <w:proofErr w:type="spellEnd"/>
            <w:r w:rsidRPr="005C26D0">
              <w:rPr>
                <w:b/>
                <w:bCs/>
                <w:sz w:val="18"/>
                <w:szCs w:val="18"/>
                <w:lang w:val="en-US"/>
              </w:rPr>
              <w:t xml:space="preserve"> </w:t>
            </w:r>
            <w:proofErr w:type="spellStart"/>
            <w:r w:rsidRPr="005C26D0">
              <w:rPr>
                <w:b/>
                <w:bCs/>
                <w:sz w:val="18"/>
                <w:szCs w:val="18"/>
                <w:lang w:val="en-US"/>
              </w:rPr>
              <w:t>tehnice</w:t>
            </w:r>
            <w:proofErr w:type="spellEnd"/>
            <w:r w:rsidRPr="005C26D0">
              <w:rPr>
                <w:b/>
                <w:bCs/>
                <w:sz w:val="18"/>
                <w:szCs w:val="18"/>
                <w:lang w:val="en-US"/>
              </w:rPr>
              <w:t xml:space="preserve"> de </w:t>
            </w:r>
            <w:proofErr w:type="spellStart"/>
            <w:r w:rsidRPr="005C26D0">
              <w:rPr>
                <w:b/>
                <w:bCs/>
                <w:sz w:val="18"/>
                <w:szCs w:val="18"/>
                <w:lang w:val="en-US"/>
              </w:rPr>
              <w:t>reglementare</w:t>
            </w:r>
            <w:proofErr w:type="spellEnd"/>
            <w:r w:rsidRPr="005C26D0">
              <w:rPr>
                <w:b/>
                <w:bCs/>
                <w:sz w:val="18"/>
                <w:szCs w:val="18"/>
                <w:lang w:val="en-US"/>
              </w:rPr>
              <w:t xml:space="preserve"> care </w:t>
            </w:r>
            <w:proofErr w:type="spellStart"/>
            <w:r w:rsidRPr="005C26D0">
              <w:rPr>
                <w:b/>
                <w:bCs/>
                <w:sz w:val="18"/>
                <w:szCs w:val="18"/>
                <w:lang w:val="en-US"/>
              </w:rPr>
              <w:t>specifică</w:t>
            </w:r>
            <w:proofErr w:type="spellEnd"/>
            <w:r w:rsidRPr="005C26D0">
              <w:rPr>
                <w:b/>
                <w:bCs/>
                <w:sz w:val="18"/>
                <w:szCs w:val="18"/>
                <w:lang w:val="en-US"/>
              </w:rPr>
              <w:t xml:space="preserve"> </w:t>
            </w:r>
            <w:proofErr w:type="spellStart"/>
            <w:r w:rsidRPr="005C26D0">
              <w:rPr>
                <w:b/>
                <w:bCs/>
                <w:sz w:val="18"/>
                <w:szCs w:val="18"/>
                <w:lang w:val="en-US"/>
              </w:rPr>
              <w:t>metoda</w:t>
            </w:r>
            <w:proofErr w:type="spellEnd"/>
            <w:r w:rsidRPr="005C26D0">
              <w:rPr>
                <w:b/>
                <w:bCs/>
                <w:sz w:val="18"/>
                <w:szCs w:val="18"/>
                <w:lang w:val="en-US"/>
              </w:rPr>
              <w:t xml:space="preserve"> de </w:t>
            </w:r>
            <w:proofErr w:type="spellStart"/>
            <w:r w:rsidRPr="005C26D0">
              <w:rPr>
                <w:b/>
                <w:bCs/>
                <w:sz w:val="18"/>
                <w:szCs w:val="18"/>
                <w:lang w:val="en-US"/>
              </w:rPr>
              <w:t>identificare</w:t>
            </w:r>
            <w:proofErr w:type="spellEnd"/>
            <w:r w:rsidRPr="005C26D0">
              <w:rPr>
                <w:b/>
                <w:bCs/>
                <w:sz w:val="18"/>
                <w:szCs w:val="18"/>
                <w:lang w:val="en-US"/>
              </w:rPr>
              <w:t xml:space="preserve"> a </w:t>
            </w:r>
            <w:proofErr w:type="spellStart"/>
            <w:r w:rsidRPr="005C26D0">
              <w:rPr>
                <w:b/>
                <w:bCs/>
                <w:sz w:val="18"/>
                <w:szCs w:val="18"/>
                <w:lang w:val="en-US"/>
              </w:rPr>
              <w:t>tranzacțiilor</w:t>
            </w:r>
            <w:proofErr w:type="spellEnd"/>
            <w:r w:rsidRPr="005C26D0">
              <w:rPr>
                <w:b/>
                <w:bCs/>
                <w:sz w:val="18"/>
                <w:szCs w:val="18"/>
                <w:lang w:val="en-US"/>
              </w:rPr>
              <w:t xml:space="preserve"> cu </w:t>
            </w:r>
            <w:proofErr w:type="spellStart"/>
            <w:r w:rsidRPr="005C26D0">
              <w:rPr>
                <w:b/>
                <w:bCs/>
                <w:sz w:val="18"/>
                <w:szCs w:val="18"/>
                <w:lang w:val="en-US"/>
              </w:rPr>
              <w:t>instrumente</w:t>
            </w:r>
            <w:proofErr w:type="spellEnd"/>
            <w:r w:rsidRPr="005C26D0">
              <w:rPr>
                <w:b/>
                <w:bCs/>
                <w:sz w:val="18"/>
                <w:szCs w:val="18"/>
                <w:lang w:val="en-US"/>
              </w:rPr>
              <w:t xml:space="preserve"> </w:t>
            </w:r>
            <w:proofErr w:type="spellStart"/>
            <w:r w:rsidRPr="005C26D0">
              <w:rPr>
                <w:b/>
                <w:bCs/>
                <w:sz w:val="18"/>
                <w:szCs w:val="18"/>
                <w:lang w:val="en-US"/>
              </w:rPr>
              <w:t>financiare</w:t>
            </w:r>
            <w:proofErr w:type="spellEnd"/>
            <w:r w:rsidRPr="005C26D0">
              <w:rPr>
                <w:b/>
                <w:bCs/>
                <w:sz w:val="18"/>
                <w:szCs w:val="18"/>
                <w:lang w:val="en-US"/>
              </w:rPr>
              <w:t xml:space="preserve"> derivate cu </w:t>
            </w:r>
            <w:proofErr w:type="spellStart"/>
            <w:r w:rsidRPr="005C26D0">
              <w:rPr>
                <w:b/>
                <w:bCs/>
                <w:sz w:val="18"/>
                <w:szCs w:val="18"/>
                <w:lang w:val="en-US"/>
              </w:rPr>
              <w:t>unul</w:t>
            </w:r>
            <w:proofErr w:type="spellEnd"/>
            <w:r w:rsidRPr="005C26D0">
              <w:rPr>
                <w:b/>
                <w:bCs/>
                <w:sz w:val="18"/>
                <w:szCs w:val="18"/>
                <w:lang w:val="en-US"/>
              </w:rPr>
              <w:t xml:space="preserve"> </w:t>
            </w:r>
            <w:proofErr w:type="spellStart"/>
            <w:r w:rsidRPr="005C26D0">
              <w:rPr>
                <w:b/>
                <w:bCs/>
                <w:sz w:val="18"/>
                <w:szCs w:val="18"/>
                <w:lang w:val="en-US"/>
              </w:rPr>
              <w:t>sau</w:t>
            </w:r>
            <w:proofErr w:type="spellEnd"/>
            <w:r w:rsidRPr="005C26D0">
              <w:rPr>
                <w:b/>
                <w:bCs/>
                <w:sz w:val="18"/>
                <w:szCs w:val="18"/>
                <w:lang w:val="en-US"/>
              </w:rPr>
              <w:t xml:space="preserve"> </w:t>
            </w:r>
            <w:proofErr w:type="spellStart"/>
            <w:r w:rsidRPr="005C26D0">
              <w:rPr>
                <w:b/>
                <w:bCs/>
                <w:sz w:val="18"/>
                <w:szCs w:val="18"/>
                <w:lang w:val="en-US"/>
              </w:rPr>
              <w:t>mai</w:t>
            </w:r>
            <w:proofErr w:type="spellEnd"/>
            <w:r w:rsidRPr="005C26D0">
              <w:rPr>
                <w:b/>
                <w:bCs/>
                <w:sz w:val="18"/>
                <w:szCs w:val="18"/>
                <w:lang w:val="en-US"/>
              </w:rPr>
              <w:t xml:space="preserve"> </w:t>
            </w:r>
            <w:proofErr w:type="spellStart"/>
            <w:r w:rsidRPr="005C26D0">
              <w:rPr>
                <w:b/>
                <w:bCs/>
                <w:sz w:val="18"/>
                <w:szCs w:val="18"/>
                <w:lang w:val="en-US"/>
              </w:rPr>
              <w:t>mulți</w:t>
            </w:r>
            <w:proofErr w:type="spellEnd"/>
            <w:r w:rsidRPr="005C26D0">
              <w:rPr>
                <w:b/>
                <w:bCs/>
                <w:sz w:val="18"/>
                <w:szCs w:val="18"/>
                <w:lang w:val="en-US"/>
              </w:rPr>
              <w:t xml:space="preserve"> </w:t>
            </w:r>
            <w:proofErr w:type="spellStart"/>
            <w:r w:rsidRPr="005C26D0">
              <w:rPr>
                <w:b/>
                <w:bCs/>
                <w:sz w:val="18"/>
                <w:szCs w:val="18"/>
                <w:lang w:val="en-US"/>
              </w:rPr>
              <w:t>determinanți</w:t>
            </w:r>
            <w:proofErr w:type="spellEnd"/>
            <w:r w:rsidRPr="005C26D0">
              <w:rPr>
                <w:b/>
                <w:bCs/>
                <w:sz w:val="18"/>
                <w:szCs w:val="18"/>
                <w:lang w:val="en-US"/>
              </w:rPr>
              <w:t xml:space="preserve">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semnificativi</w:t>
            </w:r>
            <w:proofErr w:type="spellEnd"/>
            <w:r w:rsidRPr="005C26D0">
              <w:rPr>
                <w:b/>
                <w:bCs/>
                <w:sz w:val="18"/>
                <w:szCs w:val="18"/>
                <w:lang w:val="en-US"/>
              </w:rPr>
              <w:t xml:space="preserve"> </w:t>
            </w:r>
            <w:proofErr w:type="spellStart"/>
            <w:r w:rsidRPr="005C26D0">
              <w:rPr>
                <w:b/>
                <w:bCs/>
                <w:sz w:val="18"/>
                <w:szCs w:val="18"/>
                <w:lang w:val="en-US"/>
              </w:rPr>
              <w:t>în</w:t>
            </w:r>
            <w:proofErr w:type="spellEnd"/>
            <w:r w:rsidRPr="005C26D0">
              <w:rPr>
                <w:b/>
                <w:bCs/>
                <w:sz w:val="18"/>
                <w:szCs w:val="18"/>
                <w:lang w:val="en-US"/>
              </w:rPr>
              <w:t xml:space="preserve"> </w:t>
            </w:r>
            <w:proofErr w:type="spellStart"/>
            <w:r w:rsidRPr="005C26D0">
              <w:rPr>
                <w:b/>
                <w:bCs/>
                <w:sz w:val="18"/>
                <w:szCs w:val="18"/>
                <w:lang w:val="en-US"/>
              </w:rPr>
              <w:t>sensul</w:t>
            </w:r>
            <w:proofErr w:type="spellEnd"/>
            <w:r w:rsidRPr="005C26D0">
              <w:rPr>
                <w:b/>
                <w:bCs/>
                <w:sz w:val="18"/>
                <w:szCs w:val="18"/>
                <w:lang w:val="en-US"/>
              </w:rPr>
              <w:t xml:space="preserve"> </w:t>
            </w:r>
            <w:proofErr w:type="spellStart"/>
            <w:r w:rsidRPr="005C26D0">
              <w:rPr>
                <w:b/>
                <w:bCs/>
                <w:sz w:val="18"/>
                <w:szCs w:val="18"/>
                <w:lang w:val="en-US"/>
              </w:rPr>
              <w:t>punctului</w:t>
            </w:r>
            <w:proofErr w:type="spellEnd"/>
            <w:r w:rsidRPr="005C26D0">
              <w:rPr>
                <w:b/>
                <w:bCs/>
                <w:sz w:val="18"/>
                <w:szCs w:val="18"/>
                <w:lang w:val="en-US"/>
              </w:rPr>
              <w:t xml:space="preserve"> 58</w:t>
            </w:r>
            <w:r w:rsidRPr="005C26D0">
              <w:rPr>
                <w:b/>
                <w:bCs/>
                <w:sz w:val="18"/>
                <w:szCs w:val="18"/>
                <w:vertAlign w:val="superscript"/>
                <w:lang w:val="en-US"/>
              </w:rPr>
              <w:t>1</w:t>
            </w:r>
            <w:r w:rsidRPr="005C26D0">
              <w:rPr>
                <w:b/>
                <w:bCs/>
                <w:sz w:val="18"/>
                <w:szCs w:val="18"/>
                <w:lang w:val="en-US"/>
              </w:rPr>
              <w:t xml:space="preserve">. formula </w:t>
            </w:r>
            <w:proofErr w:type="spellStart"/>
            <w:r w:rsidRPr="005C26D0">
              <w:rPr>
                <w:b/>
                <w:bCs/>
                <w:sz w:val="18"/>
                <w:szCs w:val="18"/>
                <w:lang w:val="en-US"/>
              </w:rPr>
              <w:t>pentru</w:t>
            </w:r>
            <w:proofErr w:type="spellEnd"/>
            <w:r w:rsidRPr="005C26D0">
              <w:rPr>
                <w:b/>
                <w:bCs/>
                <w:sz w:val="18"/>
                <w:szCs w:val="18"/>
                <w:lang w:val="en-US"/>
              </w:rPr>
              <w:t xml:space="preserve"> a </w:t>
            </w:r>
            <w:proofErr w:type="spellStart"/>
            <w:r w:rsidRPr="005C26D0">
              <w:rPr>
                <w:b/>
                <w:bCs/>
                <w:sz w:val="18"/>
                <w:szCs w:val="18"/>
                <w:lang w:val="en-US"/>
              </w:rPr>
              <w:t>calcula</w:t>
            </w:r>
            <w:proofErr w:type="spellEnd"/>
            <w:r w:rsidRPr="005C26D0">
              <w:rPr>
                <w:b/>
                <w:bCs/>
                <w:sz w:val="18"/>
                <w:szCs w:val="18"/>
                <w:lang w:val="en-US"/>
              </w:rPr>
              <w:t xml:space="preserve"> delta </w:t>
            </w:r>
            <w:proofErr w:type="spellStart"/>
            <w:r w:rsidRPr="005C26D0">
              <w:rPr>
                <w:b/>
                <w:bCs/>
                <w:sz w:val="18"/>
                <w:szCs w:val="18"/>
                <w:lang w:val="en-US"/>
              </w:rPr>
              <w:t>reglementat</w:t>
            </w:r>
            <w:proofErr w:type="spellEnd"/>
            <w:r w:rsidRPr="005C26D0">
              <w:rPr>
                <w:b/>
                <w:bCs/>
                <w:sz w:val="18"/>
                <w:szCs w:val="18"/>
                <w:lang w:val="en-US"/>
              </w:rPr>
              <w:t xml:space="preserve"> al </w:t>
            </w:r>
            <w:proofErr w:type="spellStart"/>
            <w:r w:rsidRPr="005C26D0">
              <w:rPr>
                <w:b/>
                <w:bCs/>
                <w:sz w:val="18"/>
                <w:szCs w:val="18"/>
                <w:lang w:val="en-US"/>
              </w:rPr>
              <w:t>opțiunilor</w:t>
            </w:r>
            <w:proofErr w:type="spellEnd"/>
            <w:r w:rsidRPr="005C26D0">
              <w:rPr>
                <w:b/>
                <w:bCs/>
                <w:sz w:val="18"/>
                <w:szCs w:val="18"/>
                <w:lang w:val="en-US"/>
              </w:rPr>
              <w:t xml:space="preserve"> call </w:t>
            </w:r>
            <w:proofErr w:type="spellStart"/>
            <w:r w:rsidRPr="005C26D0">
              <w:rPr>
                <w:b/>
                <w:bCs/>
                <w:sz w:val="18"/>
                <w:szCs w:val="18"/>
                <w:lang w:val="en-US"/>
              </w:rPr>
              <w:t>și</w:t>
            </w:r>
            <w:proofErr w:type="spellEnd"/>
            <w:r w:rsidRPr="005C26D0">
              <w:rPr>
                <w:b/>
                <w:bCs/>
                <w:sz w:val="18"/>
                <w:szCs w:val="18"/>
                <w:lang w:val="en-US"/>
              </w:rPr>
              <w:t xml:space="preserve"> put </w:t>
            </w:r>
            <w:proofErr w:type="spellStart"/>
            <w:r w:rsidRPr="005C26D0">
              <w:rPr>
                <w:b/>
                <w:bCs/>
                <w:sz w:val="18"/>
                <w:szCs w:val="18"/>
                <w:lang w:val="en-US"/>
              </w:rPr>
              <w:t>încadrate</w:t>
            </w:r>
            <w:proofErr w:type="spellEnd"/>
            <w:r w:rsidRPr="005C26D0">
              <w:rPr>
                <w:b/>
                <w:bCs/>
                <w:sz w:val="18"/>
                <w:szCs w:val="18"/>
                <w:lang w:val="en-US"/>
              </w:rPr>
              <w:t xml:space="preserve"> </w:t>
            </w:r>
            <w:proofErr w:type="spellStart"/>
            <w:r w:rsidRPr="005C26D0">
              <w:rPr>
                <w:b/>
                <w:bCs/>
                <w:sz w:val="18"/>
                <w:szCs w:val="18"/>
                <w:lang w:val="en-US"/>
              </w:rPr>
              <w:t>în</w:t>
            </w:r>
            <w:proofErr w:type="spellEnd"/>
            <w:r w:rsidRPr="005C26D0">
              <w:rPr>
                <w:b/>
                <w:bCs/>
                <w:sz w:val="18"/>
                <w:szCs w:val="18"/>
                <w:lang w:val="en-US"/>
              </w:rPr>
              <w:t xml:space="preserve"> </w:t>
            </w:r>
            <w:proofErr w:type="spellStart"/>
            <w:r w:rsidRPr="005C26D0">
              <w:rPr>
                <w:b/>
                <w:bCs/>
                <w:sz w:val="18"/>
                <w:szCs w:val="18"/>
                <w:lang w:val="en-US"/>
              </w:rPr>
              <w:t>categoria</w:t>
            </w:r>
            <w:proofErr w:type="spellEnd"/>
            <w:r w:rsidRPr="005C26D0">
              <w:rPr>
                <w:b/>
                <w:bCs/>
                <w:sz w:val="18"/>
                <w:szCs w:val="18"/>
                <w:lang w:val="en-US"/>
              </w:rPr>
              <w:t xml:space="preserve"> de </w:t>
            </w:r>
            <w:proofErr w:type="spellStart"/>
            <w:r w:rsidRPr="005C26D0">
              <w:rPr>
                <w:b/>
                <w:bCs/>
                <w:sz w:val="18"/>
                <w:szCs w:val="18"/>
                <w:lang w:val="en-US"/>
              </w:rPr>
              <w:t>risc</w:t>
            </w:r>
            <w:proofErr w:type="spellEnd"/>
            <w:r w:rsidRPr="005C26D0">
              <w:rPr>
                <w:b/>
                <w:bCs/>
                <w:sz w:val="18"/>
                <w:szCs w:val="18"/>
                <w:lang w:val="en-US"/>
              </w:rPr>
              <w:t xml:space="preserve"> de </w:t>
            </w:r>
            <w:proofErr w:type="spellStart"/>
            <w:r w:rsidRPr="005C26D0">
              <w:rPr>
                <w:b/>
                <w:bCs/>
                <w:sz w:val="18"/>
                <w:szCs w:val="18"/>
                <w:lang w:val="en-US"/>
              </w:rPr>
              <w:t>rată</w:t>
            </w:r>
            <w:proofErr w:type="spellEnd"/>
            <w:r w:rsidRPr="005C26D0">
              <w:rPr>
                <w:b/>
                <w:bCs/>
                <w:sz w:val="18"/>
                <w:szCs w:val="18"/>
                <w:lang w:val="en-US"/>
              </w:rPr>
              <w:t xml:space="preserve"> a </w:t>
            </w:r>
            <w:proofErr w:type="spellStart"/>
            <w:r w:rsidRPr="005C26D0">
              <w:rPr>
                <w:b/>
                <w:bCs/>
                <w:sz w:val="18"/>
                <w:szCs w:val="18"/>
                <w:lang w:val="en-US"/>
              </w:rPr>
              <w:t>dobânzii</w:t>
            </w:r>
            <w:proofErr w:type="spellEnd"/>
            <w:r w:rsidRPr="005C26D0">
              <w:rPr>
                <w:b/>
                <w:bCs/>
                <w:sz w:val="18"/>
                <w:szCs w:val="18"/>
                <w:lang w:val="en-US"/>
              </w:rPr>
              <w:t xml:space="preserve"> </w:t>
            </w:r>
            <w:proofErr w:type="spellStart"/>
            <w:r w:rsidRPr="005C26D0">
              <w:rPr>
                <w:b/>
                <w:bCs/>
                <w:sz w:val="18"/>
                <w:szCs w:val="18"/>
                <w:lang w:val="en-US"/>
              </w:rPr>
              <w:t>și</w:t>
            </w:r>
            <w:proofErr w:type="spellEnd"/>
            <w:r w:rsidRPr="005C26D0">
              <w:rPr>
                <w:b/>
                <w:bCs/>
                <w:sz w:val="18"/>
                <w:szCs w:val="18"/>
                <w:lang w:val="en-US"/>
              </w:rPr>
              <w:t xml:space="preserve"> </w:t>
            </w:r>
            <w:proofErr w:type="spellStart"/>
            <w:r w:rsidRPr="005C26D0">
              <w:rPr>
                <w:b/>
                <w:bCs/>
                <w:sz w:val="18"/>
                <w:szCs w:val="18"/>
                <w:lang w:val="en-US"/>
              </w:rPr>
              <w:t>metoda</w:t>
            </w:r>
            <w:proofErr w:type="spellEnd"/>
            <w:r w:rsidRPr="005C26D0">
              <w:rPr>
                <w:b/>
                <w:bCs/>
                <w:sz w:val="18"/>
                <w:szCs w:val="18"/>
                <w:lang w:val="en-US"/>
              </w:rPr>
              <w:t xml:space="preserve"> </w:t>
            </w:r>
            <w:proofErr w:type="spellStart"/>
            <w:r w:rsidRPr="005C26D0">
              <w:rPr>
                <w:b/>
                <w:bCs/>
                <w:sz w:val="18"/>
                <w:szCs w:val="18"/>
                <w:lang w:val="en-US"/>
              </w:rPr>
              <w:t>pentru</w:t>
            </w:r>
            <w:proofErr w:type="spellEnd"/>
            <w:r w:rsidRPr="005C26D0">
              <w:rPr>
                <w:b/>
                <w:bCs/>
                <w:sz w:val="18"/>
                <w:szCs w:val="18"/>
                <w:lang w:val="en-US"/>
              </w:rPr>
              <w:t xml:space="preserve"> a </w:t>
            </w:r>
            <w:proofErr w:type="spellStart"/>
            <w:r w:rsidRPr="005C26D0">
              <w:rPr>
                <w:b/>
                <w:bCs/>
                <w:sz w:val="18"/>
                <w:szCs w:val="18"/>
                <w:lang w:val="en-US"/>
              </w:rPr>
              <w:t>stabili</w:t>
            </w:r>
            <w:proofErr w:type="spellEnd"/>
            <w:r w:rsidRPr="005C26D0">
              <w:rPr>
                <w:b/>
                <w:bCs/>
                <w:sz w:val="18"/>
                <w:szCs w:val="18"/>
                <w:lang w:val="en-US"/>
              </w:rPr>
              <w:t xml:space="preserve"> </w:t>
            </w:r>
            <w:proofErr w:type="spellStart"/>
            <w:r w:rsidRPr="005C26D0">
              <w:rPr>
                <w:b/>
                <w:bCs/>
                <w:sz w:val="18"/>
                <w:szCs w:val="18"/>
                <w:lang w:val="en-US"/>
              </w:rPr>
              <w:t>dacă</w:t>
            </w:r>
            <w:proofErr w:type="spellEnd"/>
            <w:r w:rsidRPr="005C26D0">
              <w:rPr>
                <w:b/>
                <w:bCs/>
                <w:sz w:val="18"/>
                <w:szCs w:val="18"/>
                <w:lang w:val="en-US"/>
              </w:rPr>
              <w:t xml:space="preserve"> o </w:t>
            </w:r>
            <w:proofErr w:type="spellStart"/>
            <w:r w:rsidRPr="005C26D0">
              <w:rPr>
                <w:b/>
                <w:bCs/>
                <w:sz w:val="18"/>
                <w:szCs w:val="18"/>
                <w:lang w:val="en-US"/>
              </w:rPr>
              <w:t>tranzacție</w:t>
            </w:r>
            <w:proofErr w:type="spellEnd"/>
            <w:r w:rsidRPr="005C26D0">
              <w:rPr>
                <w:b/>
                <w:bCs/>
                <w:sz w:val="18"/>
                <w:szCs w:val="18"/>
                <w:lang w:val="en-US"/>
              </w:rPr>
              <w:t xml:space="preserve"> </w:t>
            </w:r>
            <w:proofErr w:type="spellStart"/>
            <w:r w:rsidRPr="005C26D0">
              <w:rPr>
                <w:b/>
                <w:bCs/>
                <w:sz w:val="18"/>
                <w:szCs w:val="18"/>
                <w:lang w:val="en-US"/>
              </w:rPr>
              <w:t>este</w:t>
            </w:r>
            <w:proofErr w:type="spellEnd"/>
            <w:r w:rsidRPr="005C26D0">
              <w:rPr>
                <w:b/>
                <w:bCs/>
                <w:sz w:val="18"/>
                <w:szCs w:val="18"/>
                <w:lang w:val="en-US"/>
              </w:rPr>
              <w:t xml:space="preserve"> o </w:t>
            </w:r>
            <w:proofErr w:type="spellStart"/>
            <w:r w:rsidRPr="005C26D0">
              <w:rPr>
                <w:b/>
                <w:bCs/>
                <w:sz w:val="18"/>
                <w:szCs w:val="18"/>
                <w:lang w:val="en-US"/>
              </w:rPr>
              <w:t>poziție</w:t>
            </w:r>
            <w:proofErr w:type="spellEnd"/>
            <w:r w:rsidRPr="005C26D0">
              <w:rPr>
                <w:b/>
                <w:bCs/>
                <w:sz w:val="18"/>
                <w:szCs w:val="18"/>
                <w:lang w:val="en-US"/>
              </w:rPr>
              <w:t xml:space="preserve"> </w:t>
            </w:r>
            <w:proofErr w:type="spellStart"/>
            <w:r w:rsidRPr="005C26D0">
              <w:rPr>
                <w:b/>
                <w:bCs/>
                <w:sz w:val="18"/>
                <w:szCs w:val="18"/>
                <w:lang w:val="en-US"/>
              </w:rPr>
              <w:t>lungă</w:t>
            </w:r>
            <w:proofErr w:type="spellEnd"/>
            <w:r w:rsidRPr="005C26D0">
              <w:rPr>
                <w:b/>
                <w:bCs/>
                <w:sz w:val="18"/>
                <w:szCs w:val="18"/>
                <w:lang w:val="en-US"/>
              </w:rPr>
              <w:t xml:space="preserve"> </w:t>
            </w:r>
            <w:proofErr w:type="spellStart"/>
            <w:r w:rsidRPr="005C26D0">
              <w:rPr>
                <w:b/>
                <w:bCs/>
                <w:sz w:val="18"/>
                <w:szCs w:val="18"/>
                <w:lang w:val="en-US"/>
              </w:rPr>
              <w:t>sau</w:t>
            </w:r>
            <w:proofErr w:type="spellEnd"/>
            <w:r w:rsidRPr="005C26D0">
              <w:rPr>
                <w:b/>
                <w:bCs/>
                <w:sz w:val="18"/>
                <w:szCs w:val="18"/>
                <w:lang w:val="en-US"/>
              </w:rPr>
              <w:t xml:space="preserve"> </w:t>
            </w:r>
            <w:proofErr w:type="spellStart"/>
            <w:r w:rsidRPr="005C26D0">
              <w:rPr>
                <w:b/>
                <w:bCs/>
                <w:sz w:val="18"/>
                <w:szCs w:val="18"/>
                <w:lang w:val="en-US"/>
              </w:rPr>
              <w:t>scurtă</w:t>
            </w:r>
            <w:proofErr w:type="spellEnd"/>
            <w:r w:rsidRPr="005C26D0">
              <w:rPr>
                <w:b/>
                <w:bCs/>
                <w:sz w:val="18"/>
                <w:szCs w:val="18"/>
                <w:lang w:val="en-US"/>
              </w:rPr>
              <w:t xml:space="preserve"> pe </w:t>
            </w:r>
            <w:proofErr w:type="spellStart"/>
            <w:r w:rsidRPr="005C26D0">
              <w:rPr>
                <w:b/>
                <w:bCs/>
                <w:sz w:val="18"/>
                <w:szCs w:val="18"/>
                <w:lang w:val="en-US"/>
              </w:rPr>
              <w:t>determinantul</w:t>
            </w:r>
            <w:proofErr w:type="spellEnd"/>
            <w:r w:rsidRPr="005C26D0">
              <w:rPr>
                <w:b/>
                <w:bCs/>
                <w:sz w:val="18"/>
                <w:szCs w:val="18"/>
                <w:lang w:val="en-US"/>
              </w:rPr>
              <w:t xml:space="preserve"> de </w:t>
            </w:r>
            <w:proofErr w:type="spellStart"/>
            <w:r w:rsidRPr="005C26D0">
              <w:rPr>
                <w:b/>
                <w:bCs/>
                <w:sz w:val="18"/>
                <w:szCs w:val="18"/>
                <w:lang w:val="en-US"/>
              </w:rPr>
              <w:t>risc</w:t>
            </w:r>
            <w:proofErr w:type="spellEnd"/>
            <w:r w:rsidRPr="005C26D0">
              <w:rPr>
                <w:b/>
                <w:bCs/>
                <w:sz w:val="18"/>
                <w:szCs w:val="18"/>
                <w:lang w:val="en-US"/>
              </w:rPr>
              <w:t xml:space="preserve"> principal </w:t>
            </w:r>
            <w:proofErr w:type="spellStart"/>
            <w:r w:rsidRPr="005C26D0">
              <w:rPr>
                <w:b/>
                <w:bCs/>
                <w:sz w:val="18"/>
                <w:szCs w:val="18"/>
                <w:lang w:val="en-US"/>
              </w:rPr>
              <w:t>sau</w:t>
            </w:r>
            <w:proofErr w:type="spellEnd"/>
            <w:r w:rsidRPr="005C26D0">
              <w:rPr>
                <w:b/>
                <w:bCs/>
                <w:sz w:val="18"/>
                <w:szCs w:val="18"/>
                <w:lang w:val="en-US"/>
              </w:rPr>
              <w:t xml:space="preserve"> pe cel </w:t>
            </w:r>
            <w:proofErr w:type="spellStart"/>
            <w:r w:rsidRPr="005C26D0">
              <w:rPr>
                <w:b/>
                <w:bCs/>
                <w:sz w:val="18"/>
                <w:szCs w:val="18"/>
                <w:lang w:val="en-US"/>
              </w:rPr>
              <w:t>mai</w:t>
            </w:r>
            <w:proofErr w:type="spellEnd"/>
            <w:r w:rsidRPr="005C26D0">
              <w:rPr>
                <w:b/>
                <w:bCs/>
                <w:sz w:val="18"/>
                <w:szCs w:val="18"/>
                <w:lang w:val="en-US"/>
              </w:rPr>
              <w:t xml:space="preserve"> </w:t>
            </w:r>
            <w:proofErr w:type="spellStart"/>
            <w:r w:rsidRPr="005C26D0">
              <w:rPr>
                <w:b/>
                <w:bCs/>
                <w:sz w:val="18"/>
                <w:szCs w:val="18"/>
                <w:lang w:val="en-US"/>
              </w:rPr>
              <w:t>semnificativ</w:t>
            </w:r>
            <w:proofErr w:type="spellEnd"/>
            <w:r w:rsidRPr="005C26D0">
              <w:rPr>
                <w:b/>
                <w:bCs/>
                <w:sz w:val="18"/>
                <w:szCs w:val="18"/>
                <w:lang w:val="en-US"/>
              </w:rPr>
              <w:t xml:space="preserve"> determinant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într</w:t>
            </w:r>
            <w:proofErr w:type="spellEnd"/>
            <w:r w:rsidRPr="005C26D0">
              <w:rPr>
                <w:b/>
                <w:bCs/>
                <w:sz w:val="18"/>
                <w:szCs w:val="18"/>
                <w:lang w:val="en-US"/>
              </w:rPr>
              <w:t xml:space="preserve">-o </w:t>
            </w:r>
            <w:proofErr w:type="spellStart"/>
            <w:r w:rsidRPr="005C26D0">
              <w:rPr>
                <w:b/>
                <w:bCs/>
                <w:sz w:val="18"/>
                <w:szCs w:val="18"/>
                <w:lang w:val="en-US"/>
              </w:rPr>
              <w:t>anumită</w:t>
            </w:r>
            <w:proofErr w:type="spellEnd"/>
            <w:r w:rsidRPr="005C26D0">
              <w:rPr>
                <w:b/>
                <w:bCs/>
                <w:sz w:val="18"/>
                <w:szCs w:val="18"/>
                <w:lang w:val="en-US"/>
              </w:rPr>
              <w:t xml:space="preserve"> </w:t>
            </w:r>
            <w:proofErr w:type="spellStart"/>
            <w:r w:rsidRPr="005C26D0">
              <w:rPr>
                <w:b/>
                <w:bCs/>
                <w:sz w:val="18"/>
                <w:szCs w:val="18"/>
                <w:lang w:val="en-US"/>
              </w:rPr>
              <w:t>categorie</w:t>
            </w:r>
            <w:proofErr w:type="spellEnd"/>
            <w:r w:rsidRPr="005C26D0">
              <w:rPr>
                <w:b/>
                <w:bCs/>
                <w:sz w:val="18"/>
                <w:szCs w:val="18"/>
                <w:lang w:val="en-US"/>
              </w:rPr>
              <w:t xml:space="preserve">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în</w:t>
            </w:r>
            <w:proofErr w:type="spellEnd"/>
            <w:r w:rsidRPr="005C26D0">
              <w:rPr>
                <w:b/>
                <w:bCs/>
                <w:sz w:val="18"/>
                <w:szCs w:val="18"/>
                <w:lang w:val="en-US"/>
              </w:rPr>
              <w:t xml:space="preserve"> </w:t>
            </w:r>
            <w:proofErr w:type="spellStart"/>
            <w:r w:rsidRPr="005C26D0">
              <w:rPr>
                <w:b/>
                <w:bCs/>
                <w:sz w:val="18"/>
                <w:szCs w:val="18"/>
                <w:lang w:val="en-US"/>
              </w:rPr>
              <w:t>sensul</w:t>
            </w:r>
            <w:proofErr w:type="spellEnd"/>
            <w:r w:rsidRPr="005C26D0">
              <w:rPr>
                <w:b/>
                <w:bCs/>
                <w:sz w:val="18"/>
                <w:szCs w:val="18"/>
                <w:lang w:val="en-US"/>
              </w:rPr>
              <w:t xml:space="preserve"> </w:t>
            </w:r>
            <w:proofErr w:type="spellStart"/>
            <w:r w:rsidRPr="005C26D0">
              <w:rPr>
                <w:b/>
                <w:bCs/>
                <w:sz w:val="18"/>
                <w:szCs w:val="18"/>
                <w:lang w:val="en-US"/>
              </w:rPr>
              <w:t>punctului</w:t>
            </w:r>
            <w:proofErr w:type="spellEnd"/>
            <w:r w:rsidRPr="005C26D0">
              <w:rPr>
                <w:b/>
                <w:bCs/>
                <w:sz w:val="18"/>
                <w:szCs w:val="18"/>
                <w:lang w:val="en-US"/>
              </w:rPr>
              <w:t xml:space="preserve"> 71</w:t>
            </w:r>
            <w:r w:rsidRPr="005C26D0">
              <w:rPr>
                <w:b/>
                <w:bCs/>
                <w:sz w:val="18"/>
                <w:szCs w:val="18"/>
                <w:vertAlign w:val="superscript"/>
                <w:lang w:val="en-US"/>
              </w:rPr>
              <w:t>1</w:t>
            </w:r>
            <w:r w:rsidRPr="005C26D0">
              <w:rPr>
                <w:b/>
                <w:bCs/>
                <w:sz w:val="18"/>
                <w:szCs w:val="18"/>
                <w:lang w:val="en-US"/>
              </w:rPr>
              <w:t xml:space="preserve">. </w:t>
            </w:r>
            <w:proofErr w:type="spellStart"/>
            <w:r w:rsidRPr="005C26D0">
              <w:rPr>
                <w:b/>
                <w:bCs/>
                <w:sz w:val="18"/>
                <w:szCs w:val="18"/>
                <w:lang w:val="en-US"/>
              </w:rPr>
              <w:t>în</w:t>
            </w:r>
            <w:proofErr w:type="spellEnd"/>
            <w:r w:rsidRPr="005C26D0">
              <w:rPr>
                <w:b/>
                <w:bCs/>
                <w:sz w:val="18"/>
                <w:szCs w:val="18"/>
                <w:lang w:val="en-US"/>
              </w:rPr>
              <w:t xml:space="preserve"> </w:t>
            </w:r>
            <w:proofErr w:type="spellStart"/>
            <w:r w:rsidRPr="005C26D0">
              <w:rPr>
                <w:b/>
                <w:bCs/>
                <w:sz w:val="18"/>
                <w:szCs w:val="18"/>
                <w:lang w:val="en-US"/>
              </w:rPr>
              <w:t>cadrul</w:t>
            </w:r>
            <w:proofErr w:type="spellEnd"/>
            <w:r w:rsidRPr="005C26D0">
              <w:rPr>
                <w:b/>
                <w:bCs/>
                <w:sz w:val="18"/>
                <w:szCs w:val="18"/>
                <w:lang w:val="en-US"/>
              </w:rPr>
              <w:t xml:space="preserve"> </w:t>
            </w:r>
            <w:proofErr w:type="spellStart"/>
            <w:r w:rsidRPr="005C26D0">
              <w:rPr>
                <w:b/>
                <w:bCs/>
                <w:sz w:val="18"/>
                <w:szCs w:val="18"/>
                <w:lang w:val="en-US"/>
              </w:rPr>
              <w:t>abordării</w:t>
            </w:r>
            <w:proofErr w:type="spellEnd"/>
            <w:r w:rsidRPr="005C26D0">
              <w:rPr>
                <w:b/>
                <w:bCs/>
                <w:sz w:val="18"/>
                <w:szCs w:val="18"/>
                <w:lang w:val="en-US"/>
              </w:rPr>
              <w:t xml:space="preserve"> </w:t>
            </w:r>
            <w:proofErr w:type="spellStart"/>
            <w:r w:rsidRPr="005C26D0">
              <w:rPr>
                <w:b/>
                <w:bCs/>
                <w:sz w:val="18"/>
                <w:szCs w:val="18"/>
                <w:lang w:val="en-US"/>
              </w:rPr>
              <w:t>standardizate</w:t>
            </w:r>
            <w:proofErr w:type="spellEnd"/>
            <w:r w:rsidRPr="005C26D0">
              <w:rPr>
                <w:b/>
                <w:bCs/>
                <w:sz w:val="18"/>
                <w:szCs w:val="18"/>
                <w:lang w:val="en-US"/>
              </w:rPr>
              <w:t xml:space="preserve"> </w:t>
            </w:r>
            <w:proofErr w:type="spellStart"/>
            <w:r w:rsidRPr="005C26D0">
              <w:rPr>
                <w:b/>
                <w:bCs/>
                <w:sz w:val="18"/>
                <w:szCs w:val="18"/>
                <w:lang w:val="en-US"/>
              </w:rPr>
              <w:t>pentru</w:t>
            </w:r>
            <w:proofErr w:type="spellEnd"/>
            <w:r w:rsidRPr="005C26D0">
              <w:rPr>
                <w:b/>
                <w:bCs/>
                <w:sz w:val="18"/>
                <w:szCs w:val="18"/>
                <w:lang w:val="en-US"/>
              </w:rPr>
              <w:t xml:space="preserve"> </w:t>
            </w:r>
            <w:proofErr w:type="spellStart"/>
            <w:r w:rsidRPr="005C26D0">
              <w:rPr>
                <w:b/>
                <w:bCs/>
                <w:sz w:val="18"/>
                <w:szCs w:val="18"/>
                <w:lang w:val="en-US"/>
              </w:rPr>
              <w:t>riscul</w:t>
            </w:r>
            <w:proofErr w:type="spellEnd"/>
            <w:r w:rsidRPr="005C26D0">
              <w:rPr>
                <w:b/>
                <w:bCs/>
                <w:sz w:val="18"/>
                <w:szCs w:val="18"/>
                <w:lang w:val="en-US"/>
              </w:rPr>
              <w:t xml:space="preserve"> de credit al </w:t>
            </w:r>
            <w:proofErr w:type="spellStart"/>
            <w:r w:rsidRPr="005C26D0">
              <w:rPr>
                <w:b/>
                <w:bCs/>
                <w:sz w:val="18"/>
                <w:szCs w:val="18"/>
                <w:lang w:val="en-US"/>
              </w:rPr>
              <w:t>contrapărții</w:t>
            </w:r>
            <w:proofErr w:type="spellEnd"/>
          </w:p>
          <w:p w14:paraId="41054775" w14:textId="77777777" w:rsidR="002D6B17" w:rsidRPr="005C26D0" w:rsidRDefault="002D6B17" w:rsidP="002D6B17">
            <w:pPr>
              <w:jc w:val="center"/>
              <w:rPr>
                <w:b/>
                <w:bCs/>
                <w:sz w:val="18"/>
                <w:szCs w:val="18"/>
                <w:lang w:val="en-US"/>
              </w:rPr>
            </w:pPr>
            <w:proofErr w:type="spellStart"/>
            <w:r w:rsidRPr="005C26D0">
              <w:rPr>
                <w:b/>
                <w:bCs/>
                <w:sz w:val="18"/>
                <w:szCs w:val="18"/>
                <w:lang w:val="en-US"/>
              </w:rPr>
              <w:t>Capitolul</w:t>
            </w:r>
            <w:proofErr w:type="spellEnd"/>
            <w:r w:rsidRPr="005C26D0">
              <w:rPr>
                <w:b/>
                <w:bCs/>
                <w:sz w:val="18"/>
                <w:szCs w:val="18"/>
                <w:lang w:val="en-US"/>
              </w:rPr>
              <w:t xml:space="preserve"> I</w:t>
            </w:r>
          </w:p>
          <w:p w14:paraId="02932C86" w14:textId="77777777" w:rsidR="002D6B17" w:rsidRPr="005C26D0" w:rsidRDefault="002D6B17" w:rsidP="002D6B17">
            <w:pPr>
              <w:jc w:val="center"/>
              <w:rPr>
                <w:b/>
                <w:bCs/>
                <w:sz w:val="18"/>
                <w:szCs w:val="18"/>
                <w:lang w:val="en-US"/>
              </w:rPr>
            </w:pPr>
            <w:proofErr w:type="spellStart"/>
            <w:r w:rsidRPr="005C26D0">
              <w:rPr>
                <w:b/>
                <w:bCs/>
                <w:sz w:val="18"/>
                <w:szCs w:val="18"/>
                <w:lang w:val="en-US"/>
              </w:rPr>
              <w:t>Metoda</w:t>
            </w:r>
            <w:proofErr w:type="spellEnd"/>
            <w:r w:rsidRPr="005C26D0">
              <w:rPr>
                <w:b/>
                <w:bCs/>
                <w:sz w:val="18"/>
                <w:szCs w:val="18"/>
                <w:lang w:val="en-US"/>
              </w:rPr>
              <w:t xml:space="preserve"> de </w:t>
            </w:r>
            <w:proofErr w:type="spellStart"/>
            <w:r w:rsidRPr="005C26D0">
              <w:rPr>
                <w:b/>
                <w:bCs/>
                <w:sz w:val="18"/>
                <w:szCs w:val="18"/>
                <w:lang w:val="en-US"/>
              </w:rPr>
              <w:t>identificare</w:t>
            </w:r>
            <w:proofErr w:type="spellEnd"/>
            <w:r w:rsidRPr="005C26D0">
              <w:rPr>
                <w:b/>
                <w:bCs/>
                <w:sz w:val="18"/>
                <w:szCs w:val="18"/>
                <w:lang w:val="en-US"/>
              </w:rPr>
              <w:t xml:space="preserve"> a </w:t>
            </w:r>
            <w:proofErr w:type="spellStart"/>
            <w:r w:rsidRPr="005C26D0">
              <w:rPr>
                <w:b/>
                <w:bCs/>
                <w:sz w:val="18"/>
                <w:szCs w:val="18"/>
                <w:lang w:val="en-US"/>
              </w:rPr>
              <w:t>tranzacțiilor</w:t>
            </w:r>
            <w:proofErr w:type="spellEnd"/>
            <w:r w:rsidRPr="005C26D0">
              <w:rPr>
                <w:b/>
                <w:bCs/>
                <w:sz w:val="18"/>
                <w:szCs w:val="18"/>
                <w:lang w:val="en-US"/>
              </w:rPr>
              <w:t xml:space="preserve"> cu un </w:t>
            </w:r>
            <w:proofErr w:type="spellStart"/>
            <w:r w:rsidRPr="005C26D0">
              <w:rPr>
                <w:b/>
                <w:bCs/>
                <w:sz w:val="18"/>
                <w:szCs w:val="18"/>
                <w:lang w:val="en-US"/>
              </w:rPr>
              <w:t>singur</w:t>
            </w:r>
            <w:proofErr w:type="spellEnd"/>
            <w:r w:rsidRPr="005C26D0">
              <w:rPr>
                <w:b/>
                <w:bCs/>
                <w:sz w:val="18"/>
                <w:szCs w:val="18"/>
                <w:lang w:val="en-US"/>
              </w:rPr>
              <w:t xml:space="preserve"> determinant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semnificativ</w:t>
            </w:r>
            <w:proofErr w:type="spellEnd"/>
            <w:r w:rsidRPr="005C26D0">
              <w:rPr>
                <w:b/>
                <w:bCs/>
                <w:sz w:val="18"/>
                <w:szCs w:val="18"/>
                <w:lang w:val="en-US"/>
              </w:rPr>
              <w:t xml:space="preserve">, a </w:t>
            </w:r>
            <w:proofErr w:type="spellStart"/>
            <w:r w:rsidRPr="005C26D0">
              <w:rPr>
                <w:b/>
                <w:bCs/>
                <w:sz w:val="18"/>
                <w:szCs w:val="18"/>
                <w:lang w:val="en-US"/>
              </w:rPr>
              <w:t>tranzacțiilor</w:t>
            </w:r>
            <w:proofErr w:type="spellEnd"/>
            <w:r w:rsidRPr="005C26D0">
              <w:rPr>
                <w:b/>
                <w:bCs/>
                <w:sz w:val="18"/>
                <w:szCs w:val="18"/>
                <w:lang w:val="en-US"/>
              </w:rPr>
              <w:t xml:space="preserve"> cu </w:t>
            </w:r>
            <w:proofErr w:type="spellStart"/>
            <w:r w:rsidRPr="005C26D0">
              <w:rPr>
                <w:b/>
                <w:bCs/>
                <w:sz w:val="18"/>
                <w:szCs w:val="18"/>
                <w:lang w:val="en-US"/>
              </w:rPr>
              <w:t>mai</w:t>
            </w:r>
            <w:proofErr w:type="spellEnd"/>
            <w:r w:rsidRPr="005C26D0">
              <w:rPr>
                <w:b/>
                <w:bCs/>
                <w:sz w:val="18"/>
                <w:szCs w:val="18"/>
                <w:lang w:val="en-US"/>
              </w:rPr>
              <w:t xml:space="preserve"> </w:t>
            </w:r>
            <w:proofErr w:type="spellStart"/>
            <w:r w:rsidRPr="005C26D0">
              <w:rPr>
                <w:b/>
                <w:bCs/>
                <w:sz w:val="18"/>
                <w:szCs w:val="18"/>
                <w:lang w:val="en-US"/>
              </w:rPr>
              <w:t>mult</w:t>
            </w:r>
            <w:proofErr w:type="spellEnd"/>
            <w:r w:rsidRPr="005C26D0">
              <w:rPr>
                <w:b/>
                <w:bCs/>
                <w:sz w:val="18"/>
                <w:szCs w:val="18"/>
                <w:lang w:val="en-US"/>
              </w:rPr>
              <w:t xml:space="preserve"> de un determinant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semnificativ</w:t>
            </w:r>
            <w:proofErr w:type="spellEnd"/>
            <w:r w:rsidRPr="005C26D0">
              <w:rPr>
                <w:b/>
                <w:bCs/>
                <w:sz w:val="18"/>
                <w:szCs w:val="18"/>
                <w:lang w:val="en-US"/>
              </w:rPr>
              <w:t xml:space="preserve"> </w:t>
            </w:r>
            <w:proofErr w:type="spellStart"/>
            <w:r w:rsidRPr="005C26D0">
              <w:rPr>
                <w:b/>
                <w:bCs/>
                <w:sz w:val="18"/>
                <w:szCs w:val="18"/>
                <w:lang w:val="en-US"/>
              </w:rPr>
              <w:t>și</w:t>
            </w:r>
            <w:proofErr w:type="spellEnd"/>
            <w:r w:rsidRPr="005C26D0">
              <w:rPr>
                <w:b/>
                <w:bCs/>
                <w:sz w:val="18"/>
                <w:szCs w:val="18"/>
                <w:lang w:val="en-US"/>
              </w:rPr>
              <w:t xml:space="preserve"> de </w:t>
            </w:r>
            <w:proofErr w:type="spellStart"/>
            <w:r w:rsidRPr="005C26D0">
              <w:rPr>
                <w:b/>
                <w:bCs/>
                <w:sz w:val="18"/>
                <w:szCs w:val="18"/>
                <w:lang w:val="en-US"/>
              </w:rPr>
              <w:t>identificare</w:t>
            </w:r>
            <w:proofErr w:type="spellEnd"/>
            <w:r w:rsidRPr="005C26D0">
              <w:rPr>
                <w:b/>
                <w:bCs/>
                <w:sz w:val="18"/>
                <w:szCs w:val="18"/>
                <w:lang w:val="en-US"/>
              </w:rPr>
              <w:t xml:space="preserve"> a </w:t>
            </w:r>
            <w:proofErr w:type="spellStart"/>
            <w:r w:rsidRPr="005C26D0">
              <w:rPr>
                <w:b/>
                <w:bCs/>
                <w:sz w:val="18"/>
                <w:szCs w:val="18"/>
                <w:lang w:val="en-US"/>
              </w:rPr>
              <w:t>celui</w:t>
            </w:r>
            <w:proofErr w:type="spellEnd"/>
            <w:r w:rsidRPr="005C26D0">
              <w:rPr>
                <w:b/>
                <w:bCs/>
                <w:sz w:val="18"/>
                <w:szCs w:val="18"/>
                <w:lang w:val="en-US"/>
              </w:rPr>
              <w:t xml:space="preserve"> </w:t>
            </w:r>
            <w:proofErr w:type="spellStart"/>
            <w:r w:rsidRPr="005C26D0">
              <w:rPr>
                <w:b/>
                <w:bCs/>
                <w:sz w:val="18"/>
                <w:szCs w:val="18"/>
                <w:lang w:val="en-US"/>
              </w:rPr>
              <w:t>mai</w:t>
            </w:r>
            <w:proofErr w:type="spellEnd"/>
            <w:r w:rsidRPr="005C26D0">
              <w:rPr>
                <w:b/>
                <w:bCs/>
                <w:sz w:val="18"/>
                <w:szCs w:val="18"/>
                <w:lang w:val="en-US"/>
              </w:rPr>
              <w:t xml:space="preserve"> </w:t>
            </w:r>
            <w:proofErr w:type="spellStart"/>
            <w:r w:rsidRPr="005C26D0">
              <w:rPr>
                <w:b/>
                <w:bCs/>
                <w:sz w:val="18"/>
                <w:szCs w:val="18"/>
                <w:lang w:val="en-US"/>
              </w:rPr>
              <w:t>semnificativ</w:t>
            </w:r>
            <w:proofErr w:type="spellEnd"/>
            <w:r w:rsidRPr="005C26D0">
              <w:rPr>
                <w:b/>
                <w:bCs/>
                <w:sz w:val="18"/>
                <w:szCs w:val="18"/>
                <w:lang w:val="en-US"/>
              </w:rPr>
              <w:t xml:space="preserve"> </w:t>
            </w:r>
            <w:proofErr w:type="spellStart"/>
            <w:r w:rsidRPr="005C26D0">
              <w:rPr>
                <w:b/>
                <w:bCs/>
                <w:sz w:val="18"/>
                <w:szCs w:val="18"/>
                <w:lang w:val="en-US"/>
              </w:rPr>
              <w:t>dintre</w:t>
            </w:r>
            <w:proofErr w:type="spellEnd"/>
            <w:r w:rsidRPr="005C26D0">
              <w:rPr>
                <w:b/>
                <w:bCs/>
                <w:sz w:val="18"/>
                <w:szCs w:val="18"/>
                <w:lang w:val="en-US"/>
              </w:rPr>
              <w:t xml:space="preserve"> </w:t>
            </w:r>
            <w:proofErr w:type="spellStart"/>
            <w:r w:rsidRPr="005C26D0">
              <w:rPr>
                <w:b/>
                <w:bCs/>
                <w:sz w:val="18"/>
                <w:szCs w:val="18"/>
                <w:lang w:val="en-US"/>
              </w:rPr>
              <w:t>respectivii</w:t>
            </w:r>
            <w:proofErr w:type="spellEnd"/>
            <w:r w:rsidRPr="005C26D0">
              <w:rPr>
                <w:b/>
                <w:bCs/>
                <w:sz w:val="18"/>
                <w:szCs w:val="18"/>
                <w:lang w:val="en-US"/>
              </w:rPr>
              <w:t xml:space="preserve"> </w:t>
            </w:r>
            <w:proofErr w:type="spellStart"/>
            <w:r w:rsidRPr="005C26D0">
              <w:rPr>
                <w:b/>
                <w:bCs/>
                <w:sz w:val="18"/>
                <w:szCs w:val="18"/>
                <w:lang w:val="en-US"/>
              </w:rPr>
              <w:t>determinanți</w:t>
            </w:r>
            <w:proofErr w:type="spellEnd"/>
            <w:r w:rsidRPr="005C26D0">
              <w:rPr>
                <w:b/>
                <w:bCs/>
                <w:sz w:val="18"/>
                <w:szCs w:val="18"/>
                <w:lang w:val="en-US"/>
              </w:rPr>
              <w:t xml:space="preserve"> de </w:t>
            </w:r>
            <w:proofErr w:type="spellStart"/>
            <w:r w:rsidRPr="005C26D0">
              <w:rPr>
                <w:b/>
                <w:bCs/>
                <w:sz w:val="18"/>
                <w:szCs w:val="18"/>
                <w:lang w:val="en-US"/>
              </w:rPr>
              <w:t>risc</w:t>
            </w:r>
            <w:proofErr w:type="spellEnd"/>
          </w:p>
          <w:p w14:paraId="631FBC10" w14:textId="77777777" w:rsidR="002D6B17" w:rsidRPr="005C26D0" w:rsidRDefault="002D6B17" w:rsidP="002D6B17">
            <w:pPr>
              <w:jc w:val="center"/>
              <w:rPr>
                <w:i/>
                <w:iCs/>
                <w:sz w:val="18"/>
                <w:szCs w:val="18"/>
                <w:lang w:val="en-US"/>
              </w:rPr>
            </w:pPr>
            <w:proofErr w:type="spellStart"/>
            <w:r w:rsidRPr="005C26D0">
              <w:rPr>
                <w:i/>
                <w:iCs/>
                <w:sz w:val="18"/>
                <w:szCs w:val="18"/>
                <w:lang w:val="en-US"/>
              </w:rPr>
              <w:t>Secțiunea</w:t>
            </w:r>
            <w:proofErr w:type="spellEnd"/>
            <w:r w:rsidRPr="005C26D0">
              <w:rPr>
                <w:i/>
                <w:iCs/>
                <w:sz w:val="18"/>
                <w:szCs w:val="18"/>
                <w:lang w:val="en-US"/>
              </w:rPr>
              <w:t xml:space="preserve"> 1</w:t>
            </w:r>
          </w:p>
          <w:p w14:paraId="537E922C" w14:textId="77777777" w:rsidR="002D6B17" w:rsidRPr="005C26D0" w:rsidRDefault="002D6B17" w:rsidP="002D6B17">
            <w:pPr>
              <w:jc w:val="center"/>
              <w:rPr>
                <w:b/>
                <w:bCs/>
                <w:sz w:val="18"/>
                <w:szCs w:val="18"/>
                <w:lang w:val="en-US"/>
              </w:rPr>
            </w:pPr>
            <w:proofErr w:type="spellStart"/>
            <w:r w:rsidRPr="005C26D0">
              <w:rPr>
                <w:b/>
                <w:bCs/>
                <w:sz w:val="18"/>
                <w:szCs w:val="18"/>
                <w:lang w:val="en-US"/>
              </w:rPr>
              <w:t>Metoda</w:t>
            </w:r>
            <w:proofErr w:type="spellEnd"/>
            <w:r w:rsidRPr="005C26D0">
              <w:rPr>
                <w:b/>
                <w:bCs/>
                <w:sz w:val="18"/>
                <w:szCs w:val="18"/>
                <w:lang w:val="en-US"/>
              </w:rPr>
              <w:t xml:space="preserve"> de </w:t>
            </w:r>
            <w:proofErr w:type="spellStart"/>
            <w:r w:rsidRPr="005C26D0">
              <w:rPr>
                <w:b/>
                <w:bCs/>
                <w:sz w:val="18"/>
                <w:szCs w:val="18"/>
                <w:lang w:val="en-US"/>
              </w:rPr>
              <w:t>identificare</w:t>
            </w:r>
            <w:proofErr w:type="spellEnd"/>
            <w:r w:rsidRPr="005C26D0">
              <w:rPr>
                <w:b/>
                <w:bCs/>
                <w:sz w:val="18"/>
                <w:szCs w:val="18"/>
                <w:lang w:val="en-US"/>
              </w:rPr>
              <w:t xml:space="preserve"> a </w:t>
            </w:r>
            <w:proofErr w:type="spellStart"/>
            <w:r w:rsidRPr="005C26D0">
              <w:rPr>
                <w:b/>
                <w:bCs/>
                <w:sz w:val="18"/>
                <w:szCs w:val="18"/>
                <w:lang w:val="en-US"/>
              </w:rPr>
              <w:t>determinanților</w:t>
            </w:r>
            <w:proofErr w:type="spellEnd"/>
            <w:r w:rsidRPr="005C26D0">
              <w:rPr>
                <w:b/>
                <w:bCs/>
                <w:sz w:val="18"/>
                <w:szCs w:val="18"/>
                <w:lang w:val="en-US"/>
              </w:rPr>
              <w:t xml:space="preserve"> de </w:t>
            </w:r>
            <w:proofErr w:type="spellStart"/>
            <w:r w:rsidRPr="005C26D0">
              <w:rPr>
                <w:b/>
                <w:bCs/>
                <w:sz w:val="18"/>
                <w:szCs w:val="18"/>
                <w:lang w:val="en-US"/>
              </w:rPr>
              <w:t>risc</w:t>
            </w:r>
            <w:proofErr w:type="spellEnd"/>
            <w:r w:rsidRPr="005C26D0">
              <w:rPr>
                <w:b/>
                <w:bCs/>
                <w:sz w:val="18"/>
                <w:szCs w:val="18"/>
                <w:lang w:val="en-US"/>
              </w:rPr>
              <w:t xml:space="preserve"> ai </w:t>
            </w:r>
            <w:proofErr w:type="spellStart"/>
            <w:r w:rsidRPr="005C26D0">
              <w:rPr>
                <w:b/>
                <w:bCs/>
                <w:sz w:val="18"/>
                <w:szCs w:val="18"/>
                <w:lang w:val="en-US"/>
              </w:rPr>
              <w:t>unei</w:t>
            </w:r>
            <w:proofErr w:type="spellEnd"/>
            <w:r w:rsidRPr="005C26D0">
              <w:rPr>
                <w:b/>
                <w:bCs/>
                <w:sz w:val="18"/>
                <w:szCs w:val="18"/>
                <w:lang w:val="en-US"/>
              </w:rPr>
              <w:t xml:space="preserve"> </w:t>
            </w:r>
            <w:proofErr w:type="spellStart"/>
            <w:r w:rsidRPr="005C26D0">
              <w:rPr>
                <w:b/>
                <w:bCs/>
                <w:sz w:val="18"/>
                <w:szCs w:val="18"/>
                <w:lang w:val="en-US"/>
              </w:rPr>
              <w:t>tranzacții</w:t>
            </w:r>
            <w:proofErr w:type="spellEnd"/>
            <w:r w:rsidRPr="005C26D0">
              <w:rPr>
                <w:b/>
                <w:bCs/>
                <w:sz w:val="18"/>
                <w:szCs w:val="18"/>
                <w:lang w:val="en-US"/>
              </w:rPr>
              <w:t xml:space="preserve"> cu </w:t>
            </w:r>
            <w:proofErr w:type="spellStart"/>
            <w:r w:rsidRPr="005C26D0">
              <w:rPr>
                <w:b/>
                <w:bCs/>
                <w:sz w:val="18"/>
                <w:szCs w:val="18"/>
                <w:lang w:val="en-US"/>
              </w:rPr>
              <w:t>instrumente</w:t>
            </w:r>
            <w:proofErr w:type="spellEnd"/>
            <w:r w:rsidRPr="005C26D0">
              <w:rPr>
                <w:b/>
                <w:bCs/>
                <w:sz w:val="18"/>
                <w:szCs w:val="18"/>
                <w:lang w:val="en-US"/>
              </w:rPr>
              <w:t xml:space="preserve"> </w:t>
            </w:r>
            <w:proofErr w:type="spellStart"/>
            <w:r w:rsidRPr="005C26D0">
              <w:rPr>
                <w:b/>
                <w:bCs/>
                <w:sz w:val="18"/>
                <w:szCs w:val="18"/>
                <w:lang w:val="en-US"/>
              </w:rPr>
              <w:t>financiare</w:t>
            </w:r>
            <w:proofErr w:type="spellEnd"/>
            <w:r w:rsidRPr="005C26D0">
              <w:rPr>
                <w:b/>
                <w:bCs/>
                <w:sz w:val="18"/>
                <w:szCs w:val="18"/>
                <w:lang w:val="en-US"/>
              </w:rPr>
              <w:t xml:space="preserve"> derivate</w:t>
            </w:r>
          </w:p>
          <w:p w14:paraId="39BA8318" w14:textId="77777777" w:rsidR="002D6B17" w:rsidRPr="005C26D0" w:rsidRDefault="002D6B17" w:rsidP="002D6B17">
            <w:pPr>
              <w:jc w:val="both"/>
              <w:rPr>
                <w:sz w:val="18"/>
                <w:szCs w:val="18"/>
                <w:lang w:val="en-US"/>
              </w:rPr>
            </w:pPr>
            <w:r w:rsidRPr="005C26D0">
              <w:rPr>
                <w:b/>
                <w:bCs/>
                <w:sz w:val="18"/>
                <w:szCs w:val="18"/>
                <w:lang w:val="en-US"/>
              </w:rPr>
              <w:t>1.</w:t>
            </w:r>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vederea</w:t>
            </w:r>
            <w:proofErr w:type="spellEnd"/>
            <w:r w:rsidRPr="005C26D0">
              <w:rPr>
                <w:sz w:val="18"/>
                <w:szCs w:val="18"/>
                <w:lang w:val="en-US"/>
              </w:rPr>
              <w:t xml:space="preserve"> </w:t>
            </w:r>
            <w:proofErr w:type="spellStart"/>
            <w:r w:rsidRPr="005C26D0">
              <w:rPr>
                <w:sz w:val="18"/>
                <w:szCs w:val="18"/>
                <w:lang w:val="en-US"/>
              </w:rPr>
              <w:t>identificării</w:t>
            </w:r>
            <w:proofErr w:type="spellEnd"/>
            <w:r w:rsidRPr="005C26D0">
              <w:rPr>
                <w:sz w:val="18"/>
                <w:szCs w:val="18"/>
                <w:lang w:val="en-US"/>
              </w:rPr>
              <w:t xml:space="preserve"> </w:t>
            </w:r>
            <w:proofErr w:type="spellStart"/>
            <w:r w:rsidRPr="005C26D0">
              <w:rPr>
                <w:sz w:val="18"/>
                <w:szCs w:val="18"/>
                <w:lang w:val="en-US"/>
              </w:rPr>
              <w:t>tranzacțiilor</w:t>
            </w:r>
            <w:proofErr w:type="spellEnd"/>
            <w:r w:rsidRPr="005C26D0">
              <w:rPr>
                <w:sz w:val="18"/>
                <w:szCs w:val="18"/>
                <w:lang w:val="en-US"/>
              </w:rPr>
              <w:t xml:space="preserve"> cu un </w:t>
            </w:r>
            <w:proofErr w:type="spellStart"/>
            <w:r w:rsidRPr="005C26D0">
              <w:rPr>
                <w:sz w:val="18"/>
                <w:szCs w:val="18"/>
                <w:lang w:val="en-US"/>
              </w:rPr>
              <w:t>singur</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a </w:t>
            </w:r>
            <w:proofErr w:type="spellStart"/>
            <w:r w:rsidRPr="005C26D0">
              <w:rPr>
                <w:sz w:val="18"/>
                <w:szCs w:val="18"/>
                <w:lang w:val="en-US"/>
              </w:rPr>
              <w:t>tranzacțiilor</w:t>
            </w:r>
            <w:proofErr w:type="spellEnd"/>
            <w:r w:rsidRPr="005C26D0">
              <w:rPr>
                <w:sz w:val="18"/>
                <w:szCs w:val="18"/>
                <w:lang w:val="en-US"/>
              </w:rPr>
              <w:t xml:space="preserve"> cu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mult</w:t>
            </w:r>
            <w:proofErr w:type="spellEnd"/>
            <w:r w:rsidRPr="005C26D0">
              <w:rPr>
                <w:sz w:val="18"/>
                <w:szCs w:val="18"/>
                <w:lang w:val="en-US"/>
              </w:rPr>
              <w:t xml:space="preserve"> de un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trebuie</w:t>
            </w:r>
            <w:proofErr w:type="spellEnd"/>
            <w:r w:rsidRPr="005C26D0">
              <w:rPr>
                <w:sz w:val="18"/>
                <w:szCs w:val="18"/>
                <w:lang w:val="en-US"/>
              </w:rPr>
              <w:t xml:space="preserve"> </w:t>
            </w:r>
            <w:proofErr w:type="spellStart"/>
            <w:r w:rsidRPr="005C26D0">
              <w:rPr>
                <w:sz w:val="18"/>
                <w:szCs w:val="18"/>
                <w:lang w:val="en-US"/>
              </w:rPr>
              <w:t>să</w:t>
            </w:r>
            <w:proofErr w:type="spellEnd"/>
            <w:r w:rsidRPr="005C26D0">
              <w:rPr>
                <w:sz w:val="18"/>
                <w:szCs w:val="18"/>
                <w:lang w:val="en-US"/>
              </w:rPr>
              <w:t xml:space="preserve"> </w:t>
            </w:r>
            <w:proofErr w:type="spellStart"/>
            <w:r w:rsidRPr="005C26D0">
              <w:rPr>
                <w:sz w:val="18"/>
                <w:szCs w:val="18"/>
                <w:lang w:val="en-US"/>
              </w:rPr>
              <w:t>identifice</w:t>
            </w:r>
            <w:proofErr w:type="spellEnd"/>
            <w:r w:rsidRPr="005C26D0">
              <w:rPr>
                <w:sz w:val="18"/>
                <w:szCs w:val="18"/>
                <w:lang w:val="en-US"/>
              </w:rPr>
              <w:t xml:space="preserve">, la </w:t>
            </w:r>
            <w:proofErr w:type="spellStart"/>
            <w:r w:rsidRPr="005C26D0">
              <w:rPr>
                <w:sz w:val="18"/>
                <w:szCs w:val="18"/>
                <w:lang w:val="en-US"/>
              </w:rPr>
              <w:t>inițierea</w:t>
            </w:r>
            <w:proofErr w:type="spellEnd"/>
            <w:r w:rsidRPr="005C26D0">
              <w:rPr>
                <w:sz w:val="18"/>
                <w:szCs w:val="18"/>
                <w:lang w:val="en-US"/>
              </w:rPr>
              <w:t xml:space="preserve"> </w:t>
            </w:r>
            <w:proofErr w:type="spellStart"/>
            <w:r w:rsidRPr="005C26D0">
              <w:rPr>
                <w:sz w:val="18"/>
                <w:szCs w:val="18"/>
                <w:lang w:val="en-US"/>
              </w:rPr>
              <w:t>fiecărei</w:t>
            </w:r>
            <w:proofErr w:type="spellEnd"/>
            <w:r w:rsidRPr="005C26D0">
              <w:rPr>
                <w:sz w:val="18"/>
                <w:szCs w:val="18"/>
                <w:lang w:val="en-US"/>
              </w:rPr>
              <w:t xml:space="preserve"> </w:t>
            </w:r>
            <w:proofErr w:type="spellStart"/>
            <w:r w:rsidRPr="005C26D0">
              <w:rPr>
                <w:sz w:val="18"/>
                <w:szCs w:val="18"/>
                <w:lang w:val="en-US"/>
              </w:rPr>
              <w:t>tranzacții</w:t>
            </w:r>
            <w:proofErr w:type="spellEnd"/>
            <w:r w:rsidRPr="005C26D0">
              <w:rPr>
                <w:sz w:val="18"/>
                <w:szCs w:val="18"/>
                <w:lang w:val="en-US"/>
              </w:rPr>
              <w:t xml:space="preserve">, </w:t>
            </w:r>
            <w:proofErr w:type="spellStart"/>
            <w:r w:rsidRPr="005C26D0">
              <w:rPr>
                <w:sz w:val="18"/>
                <w:szCs w:val="18"/>
                <w:lang w:val="en-US"/>
              </w:rPr>
              <w:t>toți</w:t>
            </w:r>
            <w:proofErr w:type="spellEnd"/>
            <w:r w:rsidRPr="005C26D0">
              <w:rPr>
                <w:sz w:val="18"/>
                <w:szCs w:val="18"/>
                <w:lang w:val="en-US"/>
              </w:rPr>
              <w:t xml:space="preserv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ai </w:t>
            </w:r>
            <w:proofErr w:type="spellStart"/>
            <w:r w:rsidRPr="005C26D0">
              <w:rPr>
                <w:sz w:val="18"/>
                <w:szCs w:val="18"/>
                <w:lang w:val="en-US"/>
              </w:rPr>
              <w:t>tranzacției</w:t>
            </w:r>
            <w:proofErr w:type="spellEnd"/>
            <w:r w:rsidRPr="005C26D0">
              <w:rPr>
                <w:sz w:val="18"/>
                <w:szCs w:val="18"/>
                <w:lang w:val="en-US"/>
              </w:rPr>
              <w:t xml:space="preserve">, </w:t>
            </w:r>
            <w:proofErr w:type="spellStart"/>
            <w:r w:rsidRPr="005C26D0">
              <w:rPr>
                <w:sz w:val="18"/>
                <w:szCs w:val="18"/>
                <w:lang w:val="en-US"/>
              </w:rPr>
              <w:t>prin</w:t>
            </w:r>
            <w:proofErr w:type="spellEnd"/>
            <w:r w:rsidRPr="005C26D0">
              <w:rPr>
                <w:sz w:val="18"/>
                <w:szCs w:val="18"/>
                <w:lang w:val="en-US"/>
              </w:rPr>
              <w:t xml:space="preserve"> </w:t>
            </w:r>
            <w:proofErr w:type="spellStart"/>
            <w:r w:rsidRPr="005C26D0">
              <w:rPr>
                <w:sz w:val="18"/>
                <w:szCs w:val="18"/>
                <w:lang w:val="en-US"/>
              </w:rPr>
              <w:t>identificarea</w:t>
            </w:r>
            <w:proofErr w:type="spellEnd"/>
            <w:r w:rsidRPr="005C26D0">
              <w:rPr>
                <w:sz w:val="18"/>
                <w:szCs w:val="18"/>
                <w:lang w:val="en-US"/>
              </w:rPr>
              <w:t xml:space="preserve"> </w:t>
            </w:r>
            <w:proofErr w:type="spellStart"/>
            <w:r w:rsidRPr="005C26D0">
              <w:rPr>
                <w:sz w:val="18"/>
                <w:szCs w:val="18"/>
                <w:lang w:val="en-US"/>
              </w:rPr>
              <w:t>determinanților</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de care </w:t>
            </w:r>
            <w:proofErr w:type="spellStart"/>
            <w:r w:rsidRPr="005C26D0">
              <w:rPr>
                <w:sz w:val="18"/>
                <w:szCs w:val="18"/>
                <w:lang w:val="en-US"/>
              </w:rPr>
              <w:t>depind</w:t>
            </w:r>
            <w:proofErr w:type="spellEnd"/>
            <w:r w:rsidRPr="005C26D0">
              <w:rPr>
                <w:sz w:val="18"/>
                <w:szCs w:val="18"/>
                <w:lang w:val="en-US"/>
              </w:rPr>
              <w:t xml:space="preserve"> </w:t>
            </w:r>
            <w:proofErr w:type="spellStart"/>
            <w:r w:rsidRPr="005C26D0">
              <w:rPr>
                <w:sz w:val="18"/>
                <w:szCs w:val="18"/>
                <w:lang w:val="en-US"/>
              </w:rPr>
              <w:t>fluxurile</w:t>
            </w:r>
            <w:proofErr w:type="spellEnd"/>
            <w:r w:rsidRPr="005C26D0">
              <w:rPr>
                <w:sz w:val="18"/>
                <w:szCs w:val="18"/>
                <w:lang w:val="en-US"/>
              </w:rPr>
              <w:t xml:space="preserve"> de </w:t>
            </w:r>
            <w:proofErr w:type="spellStart"/>
            <w:r w:rsidRPr="005C26D0">
              <w:rPr>
                <w:sz w:val="18"/>
                <w:szCs w:val="18"/>
                <w:lang w:val="en-US"/>
              </w:rPr>
              <w:t>trezorerie</w:t>
            </w:r>
            <w:proofErr w:type="spellEnd"/>
            <w:r w:rsidRPr="005C26D0">
              <w:rPr>
                <w:sz w:val="18"/>
                <w:szCs w:val="18"/>
                <w:lang w:val="en-US"/>
              </w:rPr>
              <w:t xml:space="preserve"> ale </w:t>
            </w:r>
            <w:proofErr w:type="spellStart"/>
            <w:r w:rsidRPr="005C26D0">
              <w:rPr>
                <w:sz w:val="18"/>
                <w:szCs w:val="18"/>
                <w:lang w:val="en-US"/>
              </w:rPr>
              <w:t>tranzacției</w:t>
            </w:r>
            <w:proofErr w:type="spellEnd"/>
            <w:r w:rsidRPr="005C26D0">
              <w:rPr>
                <w:sz w:val="18"/>
                <w:szCs w:val="18"/>
                <w:lang w:val="en-US"/>
              </w:rPr>
              <w:t xml:space="preserve"> respective, </w:t>
            </w:r>
            <w:proofErr w:type="spellStart"/>
            <w:r w:rsidRPr="005C26D0">
              <w:rPr>
                <w:sz w:val="18"/>
                <w:szCs w:val="18"/>
                <w:lang w:val="en-US"/>
              </w:rPr>
              <w:t>ținând</w:t>
            </w:r>
            <w:proofErr w:type="spellEnd"/>
            <w:r w:rsidRPr="005C26D0">
              <w:rPr>
                <w:sz w:val="18"/>
                <w:szCs w:val="18"/>
                <w:lang w:val="en-US"/>
              </w:rPr>
              <w:t xml:space="preserve"> </w:t>
            </w:r>
            <w:proofErr w:type="spellStart"/>
            <w:r w:rsidRPr="005C26D0">
              <w:rPr>
                <w:sz w:val="18"/>
                <w:szCs w:val="18"/>
                <w:lang w:val="en-US"/>
              </w:rPr>
              <w:t>cont</w:t>
            </w:r>
            <w:proofErr w:type="spellEnd"/>
            <w:r w:rsidRPr="005C26D0">
              <w:rPr>
                <w:sz w:val="18"/>
                <w:szCs w:val="18"/>
                <w:lang w:val="en-US"/>
              </w:rPr>
              <w:t xml:space="preserve"> cel </w:t>
            </w:r>
            <w:proofErr w:type="spellStart"/>
            <w:r w:rsidRPr="005C26D0">
              <w:rPr>
                <w:sz w:val="18"/>
                <w:szCs w:val="18"/>
                <w:lang w:val="en-US"/>
              </w:rPr>
              <w:t>puțin</w:t>
            </w:r>
            <w:proofErr w:type="spellEnd"/>
            <w:r w:rsidRPr="005C26D0">
              <w:rPr>
                <w:sz w:val="18"/>
                <w:szCs w:val="18"/>
                <w:lang w:val="en-US"/>
              </w:rPr>
              <w:t xml:space="preserve"> de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menționați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Regulamentul</w:t>
            </w:r>
            <w:proofErr w:type="spellEnd"/>
            <w:r w:rsidRPr="005C26D0">
              <w:rPr>
                <w:sz w:val="18"/>
                <w:szCs w:val="18"/>
                <w:lang w:val="en-US"/>
              </w:rPr>
              <w:t xml:space="preserve"> nr.114/2018.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identificați</w:t>
            </w:r>
            <w:proofErr w:type="spellEnd"/>
            <w:r w:rsidRPr="005C26D0">
              <w:rPr>
                <w:sz w:val="18"/>
                <w:szCs w:val="18"/>
                <w:lang w:val="en-US"/>
              </w:rPr>
              <w:t xml:space="preserve"> de </w:t>
            </w:r>
            <w:proofErr w:type="spellStart"/>
            <w:r w:rsidRPr="005C26D0">
              <w:rPr>
                <w:sz w:val="18"/>
                <w:szCs w:val="18"/>
                <w:lang w:val="en-US"/>
              </w:rPr>
              <w:t>bănci</w:t>
            </w:r>
            <w:proofErr w:type="spellEnd"/>
            <w:r w:rsidRPr="005C26D0">
              <w:rPr>
                <w:sz w:val="18"/>
                <w:szCs w:val="18"/>
                <w:lang w:val="en-US"/>
              </w:rPr>
              <w:t xml:space="preserve"> sunt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ai </w:t>
            </w:r>
            <w:proofErr w:type="spellStart"/>
            <w:r w:rsidRPr="005C26D0">
              <w:rPr>
                <w:sz w:val="18"/>
                <w:szCs w:val="18"/>
                <w:lang w:val="en-US"/>
              </w:rPr>
              <w:t>tranzacției</w:t>
            </w:r>
            <w:proofErr w:type="spellEnd"/>
            <w:r w:rsidRPr="005C26D0">
              <w:rPr>
                <w:sz w:val="18"/>
                <w:szCs w:val="18"/>
                <w:lang w:val="en-US"/>
              </w:rPr>
              <w:t>.</w:t>
            </w:r>
          </w:p>
          <w:p w14:paraId="4343F2C8" w14:textId="77777777" w:rsidR="002D6B17" w:rsidRPr="005C26D0" w:rsidRDefault="002D6B17" w:rsidP="002D6B17">
            <w:pPr>
              <w:jc w:val="both"/>
              <w:rPr>
                <w:sz w:val="18"/>
                <w:szCs w:val="18"/>
                <w:lang w:val="en-US"/>
              </w:rPr>
            </w:pPr>
            <w:r w:rsidRPr="005C26D0">
              <w:rPr>
                <w:b/>
                <w:bCs/>
                <w:sz w:val="18"/>
                <w:szCs w:val="18"/>
                <w:lang w:val="en-US"/>
              </w:rPr>
              <w:t>2.</w:t>
            </w:r>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nu </w:t>
            </w:r>
            <w:proofErr w:type="spellStart"/>
            <w:r w:rsidRPr="005C26D0">
              <w:rPr>
                <w:sz w:val="18"/>
                <w:szCs w:val="18"/>
                <w:lang w:val="en-US"/>
              </w:rPr>
              <w:t>trebuie</w:t>
            </w:r>
            <w:proofErr w:type="spellEnd"/>
            <w:r w:rsidRPr="005C26D0">
              <w:rPr>
                <w:sz w:val="18"/>
                <w:szCs w:val="18"/>
                <w:lang w:val="en-US"/>
              </w:rPr>
              <w:t xml:space="preserve"> </w:t>
            </w:r>
            <w:proofErr w:type="spellStart"/>
            <w:r w:rsidRPr="005C26D0">
              <w:rPr>
                <w:sz w:val="18"/>
                <w:szCs w:val="18"/>
                <w:lang w:val="en-US"/>
              </w:rPr>
              <w:t>să</w:t>
            </w:r>
            <w:proofErr w:type="spellEnd"/>
            <w:r w:rsidRPr="005C26D0">
              <w:rPr>
                <w:sz w:val="18"/>
                <w:szCs w:val="18"/>
                <w:lang w:val="en-US"/>
              </w:rPr>
              <w:t xml:space="preserve"> </w:t>
            </w:r>
            <w:proofErr w:type="spellStart"/>
            <w:r w:rsidRPr="005C26D0">
              <w:rPr>
                <w:sz w:val="18"/>
                <w:szCs w:val="18"/>
                <w:lang w:val="en-US"/>
              </w:rPr>
              <w:t>considere</w:t>
            </w:r>
            <w:proofErr w:type="spellEnd"/>
            <w:r w:rsidRPr="005C26D0">
              <w:rPr>
                <w:sz w:val="18"/>
                <w:szCs w:val="18"/>
                <w:lang w:val="en-US"/>
              </w:rPr>
              <w:t xml:space="preserv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ai </w:t>
            </w:r>
            <w:proofErr w:type="spellStart"/>
            <w:r w:rsidRPr="005C26D0">
              <w:rPr>
                <w:sz w:val="18"/>
                <w:szCs w:val="18"/>
                <w:lang w:val="en-US"/>
              </w:rPr>
              <w:t>ratei</w:t>
            </w:r>
            <w:proofErr w:type="spellEnd"/>
            <w:r w:rsidRPr="005C26D0">
              <w:rPr>
                <w:sz w:val="18"/>
                <w:szCs w:val="18"/>
                <w:lang w:val="en-US"/>
              </w:rPr>
              <w:t xml:space="preserve"> </w:t>
            </w:r>
            <w:proofErr w:type="spellStart"/>
            <w:r w:rsidRPr="005C26D0">
              <w:rPr>
                <w:sz w:val="18"/>
                <w:szCs w:val="18"/>
                <w:lang w:val="en-US"/>
              </w:rPr>
              <w:t>dobânzii</w:t>
            </w:r>
            <w:proofErr w:type="spellEnd"/>
            <w:r w:rsidRPr="005C26D0">
              <w:rPr>
                <w:sz w:val="18"/>
                <w:szCs w:val="18"/>
                <w:lang w:val="en-US"/>
              </w:rPr>
              <w:t xml:space="preserve"> </w:t>
            </w:r>
            <w:proofErr w:type="spellStart"/>
            <w:r w:rsidRPr="005C26D0">
              <w:rPr>
                <w:sz w:val="18"/>
                <w:szCs w:val="18"/>
                <w:lang w:val="en-US"/>
              </w:rPr>
              <w:t>utilizați</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lastRenderedPageBreak/>
              <w:t>actualizarea</w:t>
            </w:r>
            <w:proofErr w:type="spellEnd"/>
            <w:r w:rsidRPr="005C26D0">
              <w:rPr>
                <w:sz w:val="18"/>
                <w:szCs w:val="18"/>
                <w:lang w:val="en-US"/>
              </w:rPr>
              <w:t xml:space="preserve"> </w:t>
            </w:r>
            <w:proofErr w:type="spellStart"/>
            <w:r w:rsidRPr="005C26D0">
              <w:rPr>
                <w:sz w:val="18"/>
                <w:szCs w:val="18"/>
                <w:lang w:val="en-US"/>
              </w:rPr>
              <w:t>fluxurilor</w:t>
            </w:r>
            <w:proofErr w:type="spellEnd"/>
            <w:r w:rsidRPr="005C26D0">
              <w:rPr>
                <w:sz w:val="18"/>
                <w:szCs w:val="18"/>
                <w:lang w:val="en-US"/>
              </w:rPr>
              <w:t xml:space="preserve"> de </w:t>
            </w:r>
            <w:proofErr w:type="spellStart"/>
            <w:r w:rsidRPr="005C26D0">
              <w:rPr>
                <w:sz w:val="18"/>
                <w:szCs w:val="18"/>
                <w:lang w:val="en-US"/>
              </w:rPr>
              <w:t>trezorerie</w:t>
            </w:r>
            <w:proofErr w:type="spellEnd"/>
            <w:r w:rsidRPr="005C26D0">
              <w:rPr>
                <w:sz w:val="18"/>
                <w:szCs w:val="18"/>
                <w:lang w:val="en-US"/>
              </w:rPr>
              <w:t xml:space="preserve"> ale </w:t>
            </w:r>
            <w:proofErr w:type="spellStart"/>
            <w:r w:rsidRPr="005C26D0">
              <w:rPr>
                <w:sz w:val="18"/>
                <w:szCs w:val="18"/>
                <w:lang w:val="en-US"/>
              </w:rPr>
              <w:t>tranzacției</w:t>
            </w:r>
            <w:proofErr w:type="spellEnd"/>
            <w:r w:rsidRPr="005C26D0">
              <w:rPr>
                <w:sz w:val="18"/>
                <w:szCs w:val="18"/>
                <w:lang w:val="en-US"/>
              </w:rPr>
              <w:t xml:space="preser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ai </w:t>
            </w:r>
            <w:proofErr w:type="spellStart"/>
            <w:r w:rsidRPr="005C26D0">
              <w:rPr>
                <w:sz w:val="18"/>
                <w:szCs w:val="18"/>
                <w:lang w:val="en-US"/>
              </w:rPr>
              <w:t>tranzacției</w:t>
            </w:r>
            <w:proofErr w:type="spellEnd"/>
            <w:r w:rsidRPr="005C26D0">
              <w:rPr>
                <w:sz w:val="18"/>
                <w:szCs w:val="18"/>
                <w:lang w:val="en-US"/>
              </w:rPr>
              <w:t>.</w:t>
            </w:r>
          </w:p>
          <w:p w14:paraId="277F453E" w14:textId="77777777" w:rsidR="002D6B17" w:rsidRPr="005C26D0" w:rsidRDefault="002D6B17" w:rsidP="002D6B17">
            <w:pPr>
              <w:pStyle w:val="PlainText"/>
              <w:rPr>
                <w:rFonts w:ascii="Times New Roman" w:hAnsi="Times New Roman" w:cs="Times New Roman"/>
                <w:b/>
                <w:bCs/>
                <w:sz w:val="18"/>
                <w:szCs w:val="18"/>
                <w:lang w:val="ro-MD"/>
              </w:rPr>
            </w:pPr>
          </w:p>
        </w:tc>
        <w:tc>
          <w:tcPr>
            <w:tcW w:w="1229" w:type="dxa"/>
          </w:tcPr>
          <w:p w14:paraId="589015F7" w14:textId="34039B03" w:rsidR="002D6B17" w:rsidRPr="005C26D0" w:rsidRDefault="002D6B17" w:rsidP="002D6B17">
            <w:pPr>
              <w:jc w:val="both"/>
              <w:rPr>
                <w:bCs/>
                <w:sz w:val="18"/>
                <w:szCs w:val="18"/>
                <w:lang w:val="ro-MD"/>
              </w:rPr>
            </w:pPr>
            <w:r w:rsidRPr="005C26D0">
              <w:rPr>
                <w:bCs/>
                <w:sz w:val="18"/>
                <w:szCs w:val="18"/>
                <w:lang w:val="ro-MD"/>
              </w:rPr>
              <w:lastRenderedPageBreak/>
              <w:t>Compatibil</w:t>
            </w:r>
          </w:p>
        </w:tc>
        <w:tc>
          <w:tcPr>
            <w:tcW w:w="5292" w:type="dxa"/>
            <w:tcBorders>
              <w:bottom w:val="single" w:sz="4" w:space="0" w:color="auto"/>
            </w:tcBorders>
          </w:tcPr>
          <w:p w14:paraId="2AA798A5" w14:textId="77777777" w:rsidR="002D6B17" w:rsidRPr="005C26D0" w:rsidRDefault="002D6B17" w:rsidP="002D6B17">
            <w:pPr>
              <w:jc w:val="both"/>
              <w:rPr>
                <w:b/>
                <w:sz w:val="18"/>
                <w:szCs w:val="18"/>
                <w:lang w:val="ro-MD"/>
              </w:rPr>
            </w:pPr>
          </w:p>
        </w:tc>
      </w:tr>
      <w:tr w:rsidR="002D6B17" w:rsidRPr="005C26D0" w14:paraId="0DAC356B" w14:textId="77777777" w:rsidTr="003F5B3C">
        <w:trPr>
          <w:tblHeader/>
        </w:trPr>
        <w:tc>
          <w:tcPr>
            <w:tcW w:w="4253" w:type="dxa"/>
          </w:tcPr>
          <w:p w14:paraId="2CB54BBC" w14:textId="7C8FD04D" w:rsidR="002D6B17" w:rsidRPr="00694EE2" w:rsidRDefault="002D6B17" w:rsidP="002D6B17">
            <w:pPr>
              <w:shd w:val="clear" w:color="auto" w:fill="FFFFFF"/>
              <w:spacing w:before="240" w:after="120"/>
              <w:rPr>
                <w:b/>
                <w:bCs/>
                <w:color w:val="000000"/>
                <w:sz w:val="18"/>
                <w:szCs w:val="18"/>
                <w:lang w:val="ro-MD" w:eastAsia="ro-MD"/>
              </w:rPr>
            </w:pPr>
            <w:r w:rsidRPr="00694EE2">
              <w:rPr>
                <w:i/>
                <w:iCs/>
                <w:color w:val="000000"/>
                <w:sz w:val="18"/>
                <w:szCs w:val="18"/>
                <w:lang w:val="ro-MD" w:eastAsia="ro-MD"/>
              </w:rPr>
              <w:t>Articolul 2</w:t>
            </w:r>
            <w:r w:rsidRPr="005C26D0">
              <w:rPr>
                <w:i/>
                <w:iCs/>
                <w:color w:val="000000"/>
                <w:sz w:val="18"/>
                <w:szCs w:val="18"/>
                <w:lang w:val="ro-MD" w:eastAsia="ro-MD"/>
              </w:rPr>
              <w:t xml:space="preserve"> </w:t>
            </w:r>
            <w:r w:rsidRPr="00694EE2">
              <w:rPr>
                <w:b/>
                <w:bCs/>
                <w:color w:val="000000"/>
                <w:sz w:val="18"/>
                <w:szCs w:val="18"/>
                <w:lang w:val="ro-MD" w:eastAsia="ro-MD"/>
              </w:rPr>
              <w:t>Metoda de identificare a tranzacțiilor cu un singur determinant de risc semnificativ</w:t>
            </w:r>
          </w:p>
          <w:p w14:paraId="75D6956E" w14:textId="253CD79E" w:rsidR="002D6B17" w:rsidRPr="00694EE2" w:rsidRDefault="002D6B17" w:rsidP="002D6B17">
            <w:pPr>
              <w:shd w:val="clear" w:color="auto" w:fill="FFFFFF"/>
              <w:rPr>
                <w:color w:val="000000"/>
                <w:sz w:val="18"/>
                <w:szCs w:val="18"/>
                <w:lang w:val="ro-MD" w:eastAsia="ro-MD"/>
              </w:rPr>
            </w:pPr>
            <w:r w:rsidRPr="00694EE2">
              <w:rPr>
                <w:color w:val="000000"/>
                <w:sz w:val="18"/>
                <w:szCs w:val="18"/>
                <w:lang w:val="ro-MD" w:eastAsia="ro-MD"/>
              </w:rPr>
              <w:t>(1) După identificarea tuturor determinanților de risc ai unei tranzacții în conformitate cu articolul 1, instituțiile trebuie să identifice, la inițierea fiecărei tranzacții, tranzacțiile care au un singur determinant de risc semnificativ, aplicând următorii pași:</w:t>
            </w:r>
          </w:p>
          <w:p w14:paraId="6F995E01" w14:textId="2A289DE5" w:rsidR="002D6B17" w:rsidRPr="00694EE2" w:rsidRDefault="002D6B17" w:rsidP="002D6B17">
            <w:pPr>
              <w:shd w:val="clear" w:color="auto" w:fill="FFFFFF"/>
              <w:rPr>
                <w:color w:val="000000"/>
                <w:sz w:val="18"/>
                <w:szCs w:val="18"/>
                <w:lang w:val="ro-MD" w:eastAsia="ro-MD"/>
              </w:rPr>
            </w:pPr>
            <w:r w:rsidRPr="00694EE2">
              <w:rPr>
                <w:color w:val="000000"/>
                <w:sz w:val="18"/>
                <w:szCs w:val="18"/>
                <w:lang w:val="ro-MD" w:eastAsia="ro-MD"/>
              </w:rPr>
              <w:t>(a) în cazul în care fluxurile de trezorerie ale tranzacției depind exclusiv de un singur determinant de risc care aparține uneia dintre categoriile de risc menționate la articolul 277 alineatul (1) din Regulamentul (UE) nr. 575/2013, instituțiile identifică respectivul determinant de risc ca fiind singurul determinant de risc semnificativ al tranzacției respective;</w:t>
            </w:r>
          </w:p>
          <w:p w14:paraId="59E8FBD7" w14:textId="733E1755" w:rsidR="002D6B17" w:rsidRPr="00694EE2" w:rsidRDefault="002D6B17" w:rsidP="002D6B17">
            <w:pPr>
              <w:shd w:val="clear" w:color="auto" w:fill="FFFFFF"/>
              <w:rPr>
                <w:color w:val="000000"/>
                <w:sz w:val="18"/>
                <w:szCs w:val="18"/>
                <w:lang w:val="ro-MD" w:eastAsia="ro-MD"/>
              </w:rPr>
            </w:pPr>
            <w:r w:rsidRPr="00694EE2">
              <w:rPr>
                <w:color w:val="000000"/>
                <w:sz w:val="18"/>
                <w:szCs w:val="18"/>
                <w:lang w:val="ro-MD" w:eastAsia="ro-MD"/>
              </w:rPr>
              <w:t>(b) în cazul în care fluxurile de trezorerie ale tranzacției depind de mai mult de un determinant de risc, iar instituțiile au identificat doar un singur determinant de risc al tranzacției respective ca fiind semnificativ, fie prin metoda prevăzută la articolul 4 alineatul (3), fie prin metoda prevăzută la articolul 4 alineatul (4), instituțiile identifică respectivul determinant de risc ca fiind singurul determinant de risc semnificativ al tranzacției respective.</w:t>
            </w:r>
          </w:p>
          <w:p w14:paraId="094F75B8" w14:textId="40663868" w:rsidR="002D6B17" w:rsidRPr="00694EE2" w:rsidRDefault="002D6B17" w:rsidP="002D6B17">
            <w:pPr>
              <w:shd w:val="clear" w:color="auto" w:fill="FFFFFF"/>
              <w:rPr>
                <w:color w:val="000000"/>
                <w:sz w:val="18"/>
                <w:szCs w:val="18"/>
                <w:lang w:val="ro-MD" w:eastAsia="ro-MD"/>
              </w:rPr>
            </w:pPr>
            <w:r w:rsidRPr="00694EE2">
              <w:rPr>
                <w:color w:val="000000"/>
                <w:sz w:val="18"/>
                <w:szCs w:val="18"/>
                <w:lang w:val="ro-MD" w:eastAsia="ro-MD"/>
              </w:rPr>
              <w:t xml:space="preserve">(2)  Prin derogare de la alineatul (1), pentru </w:t>
            </w:r>
            <w:proofErr w:type="spellStart"/>
            <w:r w:rsidRPr="00694EE2">
              <w:rPr>
                <w:color w:val="000000"/>
                <w:sz w:val="18"/>
                <w:szCs w:val="18"/>
                <w:lang w:val="ro-MD" w:eastAsia="ro-MD"/>
              </w:rPr>
              <w:t>swapurile</w:t>
            </w:r>
            <w:proofErr w:type="spellEnd"/>
            <w:r w:rsidRPr="00694EE2">
              <w:rPr>
                <w:color w:val="000000"/>
                <w:sz w:val="18"/>
                <w:szCs w:val="18"/>
                <w:lang w:val="ro-MD" w:eastAsia="ro-MD"/>
              </w:rPr>
              <w:t xml:space="preserve"> încrucișate pe rata dobânzii menționate la punctul 2 litera (a) din anexa II la Regulamentul (UE) nr. 575/2013, instituțiile pot identifica determinantul de risc valutar ca fiind singurul determinant de risc semnificativ al tranzacției respective.</w:t>
            </w:r>
          </w:p>
          <w:p w14:paraId="5E35DA5F" w14:textId="77777777" w:rsidR="002D6B17" w:rsidRPr="005C26D0" w:rsidRDefault="002D6B17" w:rsidP="002D6B17">
            <w:pPr>
              <w:pStyle w:val="BodyTextIndent"/>
              <w:spacing w:before="0"/>
              <w:ind w:firstLine="0"/>
              <w:jc w:val="left"/>
              <w:rPr>
                <w:rFonts w:eastAsia="MS Mincho"/>
                <w:b/>
                <w:bCs/>
                <w:sz w:val="18"/>
                <w:szCs w:val="18"/>
                <w:lang w:val="ro-MD"/>
              </w:rPr>
            </w:pPr>
          </w:p>
        </w:tc>
        <w:tc>
          <w:tcPr>
            <w:tcW w:w="3685" w:type="dxa"/>
          </w:tcPr>
          <w:p w14:paraId="3CA1DE84" w14:textId="77777777" w:rsidR="002D6B17" w:rsidRPr="005C26D0" w:rsidRDefault="002D6B17" w:rsidP="002D6B17">
            <w:pPr>
              <w:jc w:val="center"/>
              <w:rPr>
                <w:i/>
                <w:iCs/>
                <w:sz w:val="18"/>
                <w:szCs w:val="18"/>
                <w:lang w:val="en-US"/>
              </w:rPr>
            </w:pPr>
            <w:proofErr w:type="spellStart"/>
            <w:r w:rsidRPr="005C26D0">
              <w:rPr>
                <w:i/>
                <w:iCs/>
                <w:sz w:val="18"/>
                <w:szCs w:val="18"/>
                <w:lang w:val="en-US"/>
              </w:rPr>
              <w:t>Secțiunea</w:t>
            </w:r>
            <w:proofErr w:type="spellEnd"/>
            <w:r w:rsidRPr="005C26D0">
              <w:rPr>
                <w:i/>
                <w:iCs/>
                <w:sz w:val="18"/>
                <w:szCs w:val="18"/>
                <w:lang w:val="en-US"/>
              </w:rPr>
              <w:t xml:space="preserve"> a 2-a</w:t>
            </w:r>
          </w:p>
          <w:p w14:paraId="28E23B5B" w14:textId="77777777" w:rsidR="002D6B17" w:rsidRPr="005C26D0" w:rsidRDefault="002D6B17" w:rsidP="002D6B17">
            <w:pPr>
              <w:ind w:firstLine="426"/>
              <w:jc w:val="center"/>
              <w:rPr>
                <w:b/>
                <w:bCs/>
                <w:sz w:val="18"/>
                <w:szCs w:val="18"/>
                <w:lang w:val="en-US"/>
              </w:rPr>
            </w:pPr>
            <w:proofErr w:type="spellStart"/>
            <w:r w:rsidRPr="005C26D0">
              <w:rPr>
                <w:b/>
                <w:bCs/>
                <w:sz w:val="18"/>
                <w:szCs w:val="18"/>
                <w:lang w:val="en-US"/>
              </w:rPr>
              <w:t>Metoda</w:t>
            </w:r>
            <w:proofErr w:type="spellEnd"/>
            <w:r w:rsidRPr="005C26D0">
              <w:rPr>
                <w:b/>
                <w:bCs/>
                <w:sz w:val="18"/>
                <w:szCs w:val="18"/>
                <w:lang w:val="en-US"/>
              </w:rPr>
              <w:t xml:space="preserve"> de </w:t>
            </w:r>
            <w:proofErr w:type="spellStart"/>
            <w:r w:rsidRPr="005C26D0">
              <w:rPr>
                <w:b/>
                <w:bCs/>
                <w:sz w:val="18"/>
                <w:szCs w:val="18"/>
                <w:lang w:val="en-US"/>
              </w:rPr>
              <w:t>identificare</w:t>
            </w:r>
            <w:proofErr w:type="spellEnd"/>
            <w:r w:rsidRPr="005C26D0">
              <w:rPr>
                <w:b/>
                <w:bCs/>
                <w:sz w:val="18"/>
                <w:szCs w:val="18"/>
                <w:lang w:val="en-US"/>
              </w:rPr>
              <w:t xml:space="preserve"> a </w:t>
            </w:r>
            <w:proofErr w:type="spellStart"/>
            <w:r w:rsidRPr="005C26D0">
              <w:rPr>
                <w:b/>
                <w:bCs/>
                <w:sz w:val="18"/>
                <w:szCs w:val="18"/>
                <w:lang w:val="en-US"/>
              </w:rPr>
              <w:t>tranzacțiilor</w:t>
            </w:r>
            <w:proofErr w:type="spellEnd"/>
            <w:r w:rsidRPr="005C26D0">
              <w:rPr>
                <w:b/>
                <w:bCs/>
                <w:sz w:val="18"/>
                <w:szCs w:val="18"/>
                <w:lang w:val="en-US"/>
              </w:rPr>
              <w:t xml:space="preserve"> cu un </w:t>
            </w:r>
            <w:proofErr w:type="spellStart"/>
            <w:r w:rsidRPr="005C26D0">
              <w:rPr>
                <w:b/>
                <w:bCs/>
                <w:sz w:val="18"/>
                <w:szCs w:val="18"/>
                <w:lang w:val="en-US"/>
              </w:rPr>
              <w:t>singur</w:t>
            </w:r>
            <w:proofErr w:type="spellEnd"/>
            <w:r w:rsidRPr="005C26D0">
              <w:rPr>
                <w:b/>
                <w:bCs/>
                <w:sz w:val="18"/>
                <w:szCs w:val="18"/>
                <w:lang w:val="en-US"/>
              </w:rPr>
              <w:t xml:space="preserve"> determinant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semnificativ</w:t>
            </w:r>
            <w:proofErr w:type="spellEnd"/>
          </w:p>
          <w:p w14:paraId="0A0BDDE4" w14:textId="77777777" w:rsidR="002D6B17" w:rsidRPr="005C26D0" w:rsidRDefault="002D6B17" w:rsidP="002D6B17">
            <w:pPr>
              <w:jc w:val="both"/>
              <w:rPr>
                <w:sz w:val="18"/>
                <w:szCs w:val="18"/>
                <w:lang w:val="en-US"/>
              </w:rPr>
            </w:pPr>
            <w:r w:rsidRPr="005C26D0">
              <w:rPr>
                <w:b/>
                <w:bCs/>
                <w:sz w:val="18"/>
                <w:szCs w:val="18"/>
                <w:lang w:val="en-US"/>
              </w:rPr>
              <w:t>3.</w:t>
            </w:r>
            <w:r w:rsidRPr="005C26D0">
              <w:rPr>
                <w:sz w:val="18"/>
                <w:szCs w:val="18"/>
                <w:lang w:val="en-US"/>
              </w:rPr>
              <w:t xml:space="preserve"> </w:t>
            </w:r>
            <w:proofErr w:type="spellStart"/>
            <w:r w:rsidRPr="005C26D0">
              <w:rPr>
                <w:sz w:val="18"/>
                <w:szCs w:val="18"/>
                <w:lang w:val="en-US"/>
              </w:rPr>
              <w:t>După</w:t>
            </w:r>
            <w:proofErr w:type="spellEnd"/>
            <w:r w:rsidRPr="005C26D0">
              <w:rPr>
                <w:sz w:val="18"/>
                <w:szCs w:val="18"/>
                <w:lang w:val="en-US"/>
              </w:rPr>
              <w:t xml:space="preserve"> </w:t>
            </w:r>
            <w:proofErr w:type="spellStart"/>
            <w:r w:rsidRPr="005C26D0">
              <w:rPr>
                <w:sz w:val="18"/>
                <w:szCs w:val="18"/>
                <w:lang w:val="en-US"/>
              </w:rPr>
              <w:t>identificarea</w:t>
            </w:r>
            <w:proofErr w:type="spellEnd"/>
            <w:r w:rsidRPr="005C26D0">
              <w:rPr>
                <w:sz w:val="18"/>
                <w:szCs w:val="18"/>
                <w:lang w:val="en-US"/>
              </w:rPr>
              <w:t xml:space="preserve"> </w:t>
            </w:r>
            <w:proofErr w:type="spellStart"/>
            <w:r w:rsidRPr="005C26D0">
              <w:rPr>
                <w:sz w:val="18"/>
                <w:szCs w:val="18"/>
                <w:lang w:val="en-US"/>
              </w:rPr>
              <w:t>tuturor</w:t>
            </w:r>
            <w:proofErr w:type="spellEnd"/>
            <w:r w:rsidRPr="005C26D0">
              <w:rPr>
                <w:sz w:val="18"/>
                <w:szCs w:val="18"/>
                <w:lang w:val="en-US"/>
              </w:rPr>
              <w:t xml:space="preserve"> </w:t>
            </w:r>
            <w:proofErr w:type="spellStart"/>
            <w:r w:rsidRPr="005C26D0">
              <w:rPr>
                <w:sz w:val="18"/>
                <w:szCs w:val="18"/>
                <w:lang w:val="en-US"/>
              </w:rPr>
              <w:t>determinanților</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ai </w:t>
            </w:r>
            <w:proofErr w:type="spellStart"/>
            <w:r w:rsidRPr="005C26D0">
              <w:rPr>
                <w:sz w:val="18"/>
                <w:szCs w:val="18"/>
                <w:lang w:val="en-US"/>
              </w:rPr>
              <w:t>unei</w:t>
            </w:r>
            <w:proofErr w:type="spellEnd"/>
            <w:r w:rsidRPr="005C26D0">
              <w:rPr>
                <w:sz w:val="18"/>
                <w:szCs w:val="18"/>
                <w:lang w:val="en-US"/>
              </w:rPr>
              <w:t xml:space="preserve"> </w:t>
            </w:r>
            <w:proofErr w:type="spellStart"/>
            <w:r w:rsidRPr="005C26D0">
              <w:rPr>
                <w:sz w:val="18"/>
                <w:szCs w:val="18"/>
                <w:lang w:val="en-US"/>
              </w:rPr>
              <w:t>tranzacții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punctele</w:t>
            </w:r>
            <w:proofErr w:type="spellEnd"/>
            <w:r w:rsidRPr="005C26D0">
              <w:rPr>
                <w:sz w:val="18"/>
                <w:szCs w:val="18"/>
                <w:lang w:val="en-US"/>
              </w:rPr>
              <w:t xml:space="preserve"> 2 </w:t>
            </w:r>
            <w:proofErr w:type="spellStart"/>
            <w:r w:rsidRPr="005C26D0">
              <w:rPr>
                <w:sz w:val="18"/>
                <w:szCs w:val="18"/>
                <w:lang w:val="en-US"/>
              </w:rPr>
              <w:t>și</w:t>
            </w:r>
            <w:proofErr w:type="spellEnd"/>
            <w:r w:rsidRPr="005C26D0">
              <w:rPr>
                <w:sz w:val="18"/>
                <w:szCs w:val="18"/>
                <w:lang w:val="en-US"/>
              </w:rPr>
              <w:t xml:space="preserve"> 3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trebuie</w:t>
            </w:r>
            <w:proofErr w:type="spellEnd"/>
            <w:r w:rsidRPr="005C26D0">
              <w:rPr>
                <w:sz w:val="18"/>
                <w:szCs w:val="18"/>
                <w:lang w:val="en-US"/>
              </w:rPr>
              <w:t xml:space="preserve"> </w:t>
            </w:r>
            <w:proofErr w:type="spellStart"/>
            <w:r w:rsidRPr="005C26D0">
              <w:rPr>
                <w:sz w:val="18"/>
                <w:szCs w:val="18"/>
                <w:lang w:val="en-US"/>
              </w:rPr>
              <w:t>să</w:t>
            </w:r>
            <w:proofErr w:type="spellEnd"/>
            <w:r w:rsidRPr="005C26D0">
              <w:rPr>
                <w:sz w:val="18"/>
                <w:szCs w:val="18"/>
                <w:lang w:val="en-US"/>
              </w:rPr>
              <w:t xml:space="preserve"> </w:t>
            </w:r>
            <w:proofErr w:type="spellStart"/>
            <w:r w:rsidRPr="005C26D0">
              <w:rPr>
                <w:sz w:val="18"/>
                <w:szCs w:val="18"/>
                <w:lang w:val="en-US"/>
              </w:rPr>
              <w:t>identifice</w:t>
            </w:r>
            <w:proofErr w:type="spellEnd"/>
            <w:r w:rsidRPr="005C26D0">
              <w:rPr>
                <w:sz w:val="18"/>
                <w:szCs w:val="18"/>
                <w:lang w:val="en-US"/>
              </w:rPr>
              <w:t xml:space="preserve">, la </w:t>
            </w:r>
            <w:proofErr w:type="spellStart"/>
            <w:r w:rsidRPr="005C26D0">
              <w:rPr>
                <w:sz w:val="18"/>
                <w:szCs w:val="18"/>
                <w:lang w:val="en-US"/>
              </w:rPr>
              <w:t>inițierea</w:t>
            </w:r>
            <w:proofErr w:type="spellEnd"/>
            <w:r w:rsidRPr="005C26D0">
              <w:rPr>
                <w:sz w:val="18"/>
                <w:szCs w:val="18"/>
                <w:lang w:val="en-US"/>
              </w:rPr>
              <w:t xml:space="preserve"> </w:t>
            </w:r>
            <w:proofErr w:type="spellStart"/>
            <w:r w:rsidRPr="005C26D0">
              <w:rPr>
                <w:sz w:val="18"/>
                <w:szCs w:val="18"/>
                <w:lang w:val="en-US"/>
              </w:rPr>
              <w:t>fiecărei</w:t>
            </w:r>
            <w:proofErr w:type="spellEnd"/>
            <w:r w:rsidRPr="005C26D0">
              <w:rPr>
                <w:sz w:val="18"/>
                <w:szCs w:val="18"/>
                <w:lang w:val="en-US"/>
              </w:rPr>
              <w:t xml:space="preserve"> </w:t>
            </w:r>
            <w:proofErr w:type="spellStart"/>
            <w:r w:rsidRPr="005C26D0">
              <w:rPr>
                <w:sz w:val="18"/>
                <w:szCs w:val="18"/>
                <w:lang w:val="en-US"/>
              </w:rPr>
              <w:t>tranzacții</w:t>
            </w:r>
            <w:proofErr w:type="spellEnd"/>
            <w:r w:rsidRPr="005C26D0">
              <w:rPr>
                <w:sz w:val="18"/>
                <w:szCs w:val="18"/>
                <w:lang w:val="en-US"/>
              </w:rPr>
              <w:t xml:space="preserve">, </w:t>
            </w:r>
            <w:proofErr w:type="spellStart"/>
            <w:r w:rsidRPr="005C26D0">
              <w:rPr>
                <w:sz w:val="18"/>
                <w:szCs w:val="18"/>
                <w:lang w:val="en-US"/>
              </w:rPr>
              <w:t>tranzacțiile</w:t>
            </w:r>
            <w:proofErr w:type="spellEnd"/>
            <w:r w:rsidRPr="005C26D0">
              <w:rPr>
                <w:sz w:val="18"/>
                <w:szCs w:val="18"/>
                <w:lang w:val="en-US"/>
              </w:rPr>
              <w:t xml:space="preserve"> care au un </w:t>
            </w:r>
            <w:proofErr w:type="spellStart"/>
            <w:r w:rsidRPr="005C26D0">
              <w:rPr>
                <w:sz w:val="18"/>
                <w:szCs w:val="18"/>
                <w:lang w:val="en-US"/>
              </w:rPr>
              <w:t>singur</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w:t>
            </w:r>
            <w:proofErr w:type="spellStart"/>
            <w:r w:rsidRPr="005C26D0">
              <w:rPr>
                <w:sz w:val="18"/>
                <w:szCs w:val="18"/>
                <w:lang w:val="en-US"/>
              </w:rPr>
              <w:t>aplicând</w:t>
            </w:r>
            <w:proofErr w:type="spellEnd"/>
            <w:r w:rsidRPr="005C26D0">
              <w:rPr>
                <w:sz w:val="18"/>
                <w:szCs w:val="18"/>
                <w:lang w:val="en-US"/>
              </w:rPr>
              <w:t xml:space="preserve"> </w:t>
            </w:r>
            <w:proofErr w:type="spellStart"/>
            <w:r w:rsidRPr="005C26D0">
              <w:rPr>
                <w:sz w:val="18"/>
                <w:szCs w:val="18"/>
                <w:lang w:val="en-US"/>
              </w:rPr>
              <w:t>următorii</w:t>
            </w:r>
            <w:proofErr w:type="spellEnd"/>
            <w:r w:rsidRPr="005C26D0">
              <w:rPr>
                <w:sz w:val="18"/>
                <w:szCs w:val="18"/>
                <w:lang w:val="en-US"/>
              </w:rPr>
              <w:t xml:space="preserve"> </w:t>
            </w:r>
            <w:proofErr w:type="spellStart"/>
            <w:r w:rsidRPr="005C26D0">
              <w:rPr>
                <w:sz w:val="18"/>
                <w:szCs w:val="18"/>
                <w:lang w:val="en-US"/>
              </w:rPr>
              <w:t>pași</w:t>
            </w:r>
            <w:proofErr w:type="spellEnd"/>
            <w:r w:rsidRPr="005C26D0">
              <w:rPr>
                <w:sz w:val="18"/>
                <w:szCs w:val="18"/>
                <w:lang w:val="en-US"/>
              </w:rPr>
              <w:t>:</w:t>
            </w:r>
          </w:p>
          <w:p w14:paraId="044C206A" w14:textId="77777777" w:rsidR="002D6B17" w:rsidRPr="005C26D0" w:rsidRDefault="002D6B17" w:rsidP="002D6B17">
            <w:pPr>
              <w:jc w:val="both"/>
              <w:rPr>
                <w:sz w:val="18"/>
                <w:szCs w:val="18"/>
                <w:lang w:val="en-US"/>
              </w:rPr>
            </w:pPr>
            <w:r w:rsidRPr="005C26D0">
              <w:rPr>
                <w:sz w:val="18"/>
                <w:szCs w:val="18"/>
                <w:lang w:val="en-US"/>
              </w:rPr>
              <w:t xml:space="preserve">3.1.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cazul</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care </w:t>
            </w:r>
            <w:proofErr w:type="spellStart"/>
            <w:r w:rsidRPr="005C26D0">
              <w:rPr>
                <w:sz w:val="18"/>
                <w:szCs w:val="18"/>
                <w:lang w:val="en-US"/>
              </w:rPr>
              <w:t>fluxurile</w:t>
            </w:r>
            <w:proofErr w:type="spellEnd"/>
            <w:r w:rsidRPr="005C26D0">
              <w:rPr>
                <w:sz w:val="18"/>
                <w:szCs w:val="18"/>
                <w:lang w:val="en-US"/>
              </w:rPr>
              <w:t xml:space="preserve"> de </w:t>
            </w:r>
            <w:proofErr w:type="spellStart"/>
            <w:r w:rsidRPr="005C26D0">
              <w:rPr>
                <w:sz w:val="18"/>
                <w:szCs w:val="18"/>
                <w:lang w:val="en-US"/>
              </w:rPr>
              <w:t>trezorerie</w:t>
            </w:r>
            <w:proofErr w:type="spellEnd"/>
            <w:r w:rsidRPr="005C26D0">
              <w:rPr>
                <w:sz w:val="18"/>
                <w:szCs w:val="18"/>
                <w:lang w:val="en-US"/>
              </w:rPr>
              <w:t xml:space="preserve"> ale </w:t>
            </w:r>
            <w:proofErr w:type="spellStart"/>
            <w:r w:rsidRPr="005C26D0">
              <w:rPr>
                <w:sz w:val="18"/>
                <w:szCs w:val="18"/>
                <w:lang w:val="en-US"/>
              </w:rPr>
              <w:t>tranzacției</w:t>
            </w:r>
            <w:proofErr w:type="spellEnd"/>
            <w:r w:rsidRPr="005C26D0">
              <w:rPr>
                <w:sz w:val="18"/>
                <w:szCs w:val="18"/>
                <w:lang w:val="en-US"/>
              </w:rPr>
              <w:t xml:space="preserve"> </w:t>
            </w:r>
            <w:proofErr w:type="spellStart"/>
            <w:r w:rsidRPr="005C26D0">
              <w:rPr>
                <w:sz w:val="18"/>
                <w:szCs w:val="18"/>
                <w:lang w:val="en-US"/>
              </w:rPr>
              <w:t>depind</w:t>
            </w:r>
            <w:proofErr w:type="spellEnd"/>
            <w:r w:rsidRPr="005C26D0">
              <w:rPr>
                <w:sz w:val="18"/>
                <w:szCs w:val="18"/>
                <w:lang w:val="en-US"/>
              </w:rPr>
              <w:t xml:space="preserve"> </w:t>
            </w:r>
            <w:proofErr w:type="spellStart"/>
            <w:r w:rsidRPr="005C26D0">
              <w:rPr>
                <w:sz w:val="18"/>
                <w:szCs w:val="18"/>
                <w:lang w:val="en-US"/>
              </w:rPr>
              <w:t>exclusiv</w:t>
            </w:r>
            <w:proofErr w:type="spellEnd"/>
            <w:r w:rsidRPr="005C26D0">
              <w:rPr>
                <w:sz w:val="18"/>
                <w:szCs w:val="18"/>
                <w:lang w:val="en-US"/>
              </w:rPr>
              <w:t xml:space="preserve"> de un </w:t>
            </w:r>
            <w:proofErr w:type="spellStart"/>
            <w:r w:rsidRPr="005C26D0">
              <w:rPr>
                <w:sz w:val="18"/>
                <w:szCs w:val="18"/>
                <w:lang w:val="en-US"/>
              </w:rPr>
              <w:t>singur</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aparține</w:t>
            </w:r>
            <w:proofErr w:type="spellEnd"/>
            <w:r w:rsidRPr="005C26D0">
              <w:rPr>
                <w:sz w:val="18"/>
                <w:szCs w:val="18"/>
                <w:lang w:val="en-US"/>
              </w:rPr>
              <w:t xml:space="preserve"> </w:t>
            </w:r>
            <w:proofErr w:type="spellStart"/>
            <w:r w:rsidRPr="005C26D0">
              <w:rPr>
                <w:sz w:val="18"/>
                <w:szCs w:val="18"/>
                <w:lang w:val="en-US"/>
              </w:rPr>
              <w:t>uneia</w:t>
            </w:r>
            <w:proofErr w:type="spellEnd"/>
            <w:r w:rsidRPr="005C26D0">
              <w:rPr>
                <w:sz w:val="18"/>
                <w:szCs w:val="18"/>
                <w:lang w:val="en-US"/>
              </w:rPr>
              <w:t xml:space="preserve"> </w:t>
            </w:r>
            <w:proofErr w:type="spellStart"/>
            <w:r w:rsidRPr="005C26D0">
              <w:rPr>
                <w:sz w:val="18"/>
                <w:szCs w:val="18"/>
                <w:lang w:val="en-US"/>
              </w:rPr>
              <w:t>dintre</w:t>
            </w:r>
            <w:proofErr w:type="spellEnd"/>
            <w:r w:rsidRPr="005C26D0">
              <w:rPr>
                <w:sz w:val="18"/>
                <w:szCs w:val="18"/>
                <w:lang w:val="en-US"/>
              </w:rPr>
              <w:t xml:space="preserve"> </w:t>
            </w:r>
            <w:proofErr w:type="spellStart"/>
            <w:r w:rsidRPr="005C26D0">
              <w:rPr>
                <w:sz w:val="18"/>
                <w:szCs w:val="18"/>
                <w:lang w:val="en-US"/>
              </w:rPr>
              <w:t>categoriile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punctul</w:t>
            </w:r>
            <w:proofErr w:type="spellEnd"/>
            <w:r w:rsidRPr="005C26D0">
              <w:rPr>
                <w:sz w:val="18"/>
                <w:szCs w:val="18"/>
                <w:lang w:val="en-US"/>
              </w:rPr>
              <w:t xml:space="preserve"> 55 din </w:t>
            </w: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identifică</w:t>
            </w:r>
            <w:proofErr w:type="spellEnd"/>
            <w:r w:rsidRPr="005C26D0">
              <w:rPr>
                <w:sz w:val="18"/>
                <w:szCs w:val="18"/>
                <w:lang w:val="en-US"/>
              </w:rPr>
              <w:t xml:space="preserve"> </w:t>
            </w:r>
            <w:proofErr w:type="spellStart"/>
            <w:r w:rsidRPr="005C26D0">
              <w:rPr>
                <w:sz w:val="18"/>
                <w:szCs w:val="18"/>
                <w:lang w:val="en-US"/>
              </w:rPr>
              <w:t>respectivul</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singurul</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al </w:t>
            </w:r>
            <w:proofErr w:type="spellStart"/>
            <w:r w:rsidRPr="005C26D0">
              <w:rPr>
                <w:sz w:val="18"/>
                <w:szCs w:val="18"/>
                <w:lang w:val="en-US"/>
              </w:rPr>
              <w:t>tranzacției</w:t>
            </w:r>
            <w:proofErr w:type="spellEnd"/>
            <w:r w:rsidRPr="005C26D0">
              <w:rPr>
                <w:sz w:val="18"/>
                <w:szCs w:val="18"/>
                <w:lang w:val="en-US"/>
              </w:rPr>
              <w:t xml:space="preserve"> </w:t>
            </w:r>
            <w:proofErr w:type="gramStart"/>
            <w:r w:rsidRPr="005C26D0">
              <w:rPr>
                <w:sz w:val="18"/>
                <w:szCs w:val="18"/>
                <w:lang w:val="en-US"/>
              </w:rPr>
              <w:t>respective;</w:t>
            </w:r>
            <w:proofErr w:type="gramEnd"/>
          </w:p>
          <w:p w14:paraId="778438E7" w14:textId="77777777" w:rsidR="002D6B17" w:rsidRPr="005C26D0" w:rsidRDefault="002D6B17" w:rsidP="002D6B17">
            <w:pPr>
              <w:jc w:val="both"/>
              <w:rPr>
                <w:sz w:val="18"/>
                <w:szCs w:val="18"/>
                <w:lang w:val="en-US"/>
              </w:rPr>
            </w:pPr>
            <w:r w:rsidRPr="005C26D0">
              <w:rPr>
                <w:sz w:val="18"/>
                <w:szCs w:val="18"/>
                <w:lang w:val="en-US"/>
              </w:rPr>
              <w:t xml:space="preserve">3.2.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cazul</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care </w:t>
            </w:r>
            <w:proofErr w:type="spellStart"/>
            <w:r w:rsidRPr="005C26D0">
              <w:rPr>
                <w:sz w:val="18"/>
                <w:szCs w:val="18"/>
                <w:lang w:val="en-US"/>
              </w:rPr>
              <w:t>fluxurile</w:t>
            </w:r>
            <w:proofErr w:type="spellEnd"/>
            <w:r w:rsidRPr="005C26D0">
              <w:rPr>
                <w:sz w:val="18"/>
                <w:szCs w:val="18"/>
                <w:lang w:val="en-US"/>
              </w:rPr>
              <w:t xml:space="preserve"> de </w:t>
            </w:r>
            <w:proofErr w:type="spellStart"/>
            <w:r w:rsidRPr="005C26D0">
              <w:rPr>
                <w:sz w:val="18"/>
                <w:szCs w:val="18"/>
                <w:lang w:val="en-US"/>
              </w:rPr>
              <w:t>trezorerie</w:t>
            </w:r>
            <w:proofErr w:type="spellEnd"/>
            <w:r w:rsidRPr="005C26D0">
              <w:rPr>
                <w:sz w:val="18"/>
                <w:szCs w:val="18"/>
                <w:lang w:val="en-US"/>
              </w:rPr>
              <w:t xml:space="preserve"> ale </w:t>
            </w:r>
            <w:proofErr w:type="spellStart"/>
            <w:r w:rsidRPr="005C26D0">
              <w:rPr>
                <w:sz w:val="18"/>
                <w:szCs w:val="18"/>
                <w:lang w:val="en-US"/>
              </w:rPr>
              <w:t>tranzacției</w:t>
            </w:r>
            <w:proofErr w:type="spellEnd"/>
            <w:r w:rsidRPr="005C26D0">
              <w:rPr>
                <w:sz w:val="18"/>
                <w:szCs w:val="18"/>
                <w:lang w:val="en-US"/>
              </w:rPr>
              <w:t xml:space="preserve"> </w:t>
            </w:r>
            <w:proofErr w:type="spellStart"/>
            <w:r w:rsidRPr="005C26D0">
              <w:rPr>
                <w:sz w:val="18"/>
                <w:szCs w:val="18"/>
                <w:lang w:val="en-US"/>
              </w:rPr>
              <w:t>depind</w:t>
            </w:r>
            <w:proofErr w:type="spellEnd"/>
            <w:r w:rsidRPr="005C26D0">
              <w:rPr>
                <w:sz w:val="18"/>
                <w:szCs w:val="18"/>
                <w:lang w:val="en-US"/>
              </w:rPr>
              <w:t xml:space="preserve"> de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mult</w:t>
            </w:r>
            <w:proofErr w:type="spellEnd"/>
            <w:r w:rsidRPr="005C26D0">
              <w:rPr>
                <w:sz w:val="18"/>
                <w:szCs w:val="18"/>
                <w:lang w:val="en-US"/>
              </w:rPr>
              <w:t xml:space="preserve"> de un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iar</w:t>
            </w:r>
            <w:proofErr w:type="spellEnd"/>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au </w:t>
            </w:r>
            <w:proofErr w:type="spellStart"/>
            <w:r w:rsidRPr="005C26D0">
              <w:rPr>
                <w:sz w:val="18"/>
                <w:szCs w:val="18"/>
                <w:lang w:val="en-US"/>
              </w:rPr>
              <w:t>identificat</w:t>
            </w:r>
            <w:proofErr w:type="spellEnd"/>
            <w:r w:rsidRPr="005C26D0">
              <w:rPr>
                <w:sz w:val="18"/>
                <w:szCs w:val="18"/>
                <w:lang w:val="en-US"/>
              </w:rPr>
              <w:t xml:space="preserve"> </w:t>
            </w:r>
            <w:proofErr w:type="spellStart"/>
            <w:r w:rsidRPr="005C26D0">
              <w:rPr>
                <w:sz w:val="18"/>
                <w:szCs w:val="18"/>
                <w:lang w:val="en-US"/>
              </w:rPr>
              <w:t>doar</w:t>
            </w:r>
            <w:proofErr w:type="spellEnd"/>
            <w:r w:rsidRPr="005C26D0">
              <w:rPr>
                <w:sz w:val="18"/>
                <w:szCs w:val="18"/>
                <w:lang w:val="en-US"/>
              </w:rPr>
              <w:t xml:space="preserve"> un </w:t>
            </w:r>
            <w:proofErr w:type="spellStart"/>
            <w:r w:rsidRPr="005C26D0">
              <w:rPr>
                <w:sz w:val="18"/>
                <w:szCs w:val="18"/>
                <w:lang w:val="en-US"/>
              </w:rPr>
              <w:t>singur</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al </w:t>
            </w:r>
            <w:proofErr w:type="spellStart"/>
            <w:r w:rsidRPr="005C26D0">
              <w:rPr>
                <w:sz w:val="18"/>
                <w:szCs w:val="18"/>
                <w:lang w:val="en-US"/>
              </w:rPr>
              <w:t>tranzacției</w:t>
            </w:r>
            <w:proofErr w:type="spellEnd"/>
            <w:r w:rsidRPr="005C26D0">
              <w:rPr>
                <w:sz w:val="18"/>
                <w:szCs w:val="18"/>
                <w:lang w:val="en-US"/>
              </w:rPr>
              <w:t xml:space="preserve"> respective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fie </w:t>
            </w:r>
            <w:proofErr w:type="spellStart"/>
            <w:r w:rsidRPr="005C26D0">
              <w:rPr>
                <w:sz w:val="18"/>
                <w:szCs w:val="18"/>
                <w:lang w:val="en-US"/>
              </w:rPr>
              <w:t>prin</w:t>
            </w:r>
            <w:proofErr w:type="spellEnd"/>
            <w:r w:rsidRPr="005C26D0">
              <w:rPr>
                <w:sz w:val="18"/>
                <w:szCs w:val="18"/>
                <w:lang w:val="en-US"/>
              </w:rPr>
              <w:t xml:space="preserve"> </w:t>
            </w:r>
            <w:proofErr w:type="spellStart"/>
            <w:r w:rsidRPr="005C26D0">
              <w:rPr>
                <w:sz w:val="18"/>
                <w:szCs w:val="18"/>
                <w:lang w:val="en-US"/>
              </w:rPr>
              <w:t>metoda</w:t>
            </w:r>
            <w:proofErr w:type="spellEnd"/>
            <w:r w:rsidRPr="005C26D0">
              <w:rPr>
                <w:sz w:val="18"/>
                <w:szCs w:val="18"/>
                <w:lang w:val="en-US"/>
              </w:rPr>
              <w:t xml:space="preserve"> </w:t>
            </w:r>
            <w:proofErr w:type="spellStart"/>
            <w:r w:rsidRPr="005C26D0">
              <w:rPr>
                <w:sz w:val="18"/>
                <w:szCs w:val="18"/>
                <w:lang w:val="en-US"/>
              </w:rPr>
              <w:t>prevăzută</w:t>
            </w:r>
            <w:proofErr w:type="spellEnd"/>
            <w:r w:rsidRPr="005C26D0">
              <w:rPr>
                <w:sz w:val="18"/>
                <w:szCs w:val="18"/>
                <w:lang w:val="en-US"/>
              </w:rPr>
              <w:t xml:space="preserve"> la </w:t>
            </w:r>
            <w:proofErr w:type="spellStart"/>
            <w:r w:rsidRPr="005C26D0">
              <w:rPr>
                <w:sz w:val="18"/>
                <w:szCs w:val="18"/>
                <w:lang w:val="en-US"/>
              </w:rPr>
              <w:t>punctul</w:t>
            </w:r>
            <w:proofErr w:type="spellEnd"/>
            <w:r w:rsidRPr="005C26D0">
              <w:rPr>
                <w:sz w:val="18"/>
                <w:szCs w:val="18"/>
                <w:lang w:val="en-US"/>
              </w:rPr>
              <w:t xml:space="preserve"> 8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fie </w:t>
            </w:r>
            <w:proofErr w:type="spellStart"/>
            <w:r w:rsidRPr="005C26D0">
              <w:rPr>
                <w:sz w:val="18"/>
                <w:szCs w:val="18"/>
                <w:lang w:val="en-US"/>
              </w:rPr>
              <w:t>prin</w:t>
            </w:r>
            <w:proofErr w:type="spellEnd"/>
            <w:r w:rsidRPr="005C26D0">
              <w:rPr>
                <w:sz w:val="18"/>
                <w:szCs w:val="18"/>
                <w:lang w:val="en-US"/>
              </w:rPr>
              <w:t xml:space="preserve"> </w:t>
            </w:r>
            <w:proofErr w:type="spellStart"/>
            <w:r w:rsidRPr="005C26D0">
              <w:rPr>
                <w:sz w:val="18"/>
                <w:szCs w:val="18"/>
                <w:lang w:val="en-US"/>
              </w:rPr>
              <w:t>metoda</w:t>
            </w:r>
            <w:proofErr w:type="spellEnd"/>
            <w:r w:rsidRPr="005C26D0">
              <w:rPr>
                <w:sz w:val="18"/>
                <w:szCs w:val="18"/>
                <w:lang w:val="en-US"/>
              </w:rPr>
              <w:t xml:space="preserve"> </w:t>
            </w:r>
            <w:proofErr w:type="spellStart"/>
            <w:r w:rsidRPr="005C26D0">
              <w:rPr>
                <w:sz w:val="18"/>
                <w:szCs w:val="18"/>
                <w:lang w:val="en-US"/>
              </w:rPr>
              <w:t>prevăzută</w:t>
            </w:r>
            <w:proofErr w:type="spellEnd"/>
            <w:r w:rsidRPr="005C26D0">
              <w:rPr>
                <w:sz w:val="18"/>
                <w:szCs w:val="18"/>
                <w:lang w:val="en-US"/>
              </w:rPr>
              <w:t xml:space="preserve"> la </w:t>
            </w:r>
            <w:proofErr w:type="spellStart"/>
            <w:r w:rsidRPr="005C26D0">
              <w:rPr>
                <w:sz w:val="18"/>
                <w:szCs w:val="18"/>
                <w:lang w:val="en-US"/>
              </w:rPr>
              <w:t>punctul</w:t>
            </w:r>
            <w:proofErr w:type="spellEnd"/>
            <w:r w:rsidRPr="005C26D0">
              <w:rPr>
                <w:sz w:val="18"/>
                <w:szCs w:val="18"/>
                <w:lang w:val="en-US"/>
              </w:rPr>
              <w:t xml:space="preserve"> 9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identifică</w:t>
            </w:r>
            <w:proofErr w:type="spellEnd"/>
            <w:r w:rsidRPr="005C26D0">
              <w:rPr>
                <w:sz w:val="18"/>
                <w:szCs w:val="18"/>
                <w:lang w:val="en-US"/>
              </w:rPr>
              <w:t xml:space="preserve"> </w:t>
            </w:r>
            <w:proofErr w:type="spellStart"/>
            <w:r w:rsidRPr="005C26D0">
              <w:rPr>
                <w:sz w:val="18"/>
                <w:szCs w:val="18"/>
                <w:lang w:val="en-US"/>
              </w:rPr>
              <w:t>respectivul</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singurul</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al </w:t>
            </w:r>
            <w:proofErr w:type="spellStart"/>
            <w:r w:rsidRPr="005C26D0">
              <w:rPr>
                <w:sz w:val="18"/>
                <w:szCs w:val="18"/>
                <w:lang w:val="en-US"/>
              </w:rPr>
              <w:t>tranzacției</w:t>
            </w:r>
            <w:proofErr w:type="spellEnd"/>
            <w:r w:rsidRPr="005C26D0">
              <w:rPr>
                <w:sz w:val="18"/>
                <w:szCs w:val="18"/>
                <w:lang w:val="en-US"/>
              </w:rPr>
              <w:t xml:space="preserve"> respective.</w:t>
            </w:r>
          </w:p>
          <w:p w14:paraId="2687F12D" w14:textId="77777777" w:rsidR="002D6B17" w:rsidRPr="005C26D0" w:rsidRDefault="002D6B17" w:rsidP="002D6B17">
            <w:pPr>
              <w:jc w:val="both"/>
              <w:rPr>
                <w:b/>
                <w:bCs/>
                <w:vanish/>
                <w:sz w:val="18"/>
                <w:szCs w:val="18"/>
                <w:lang w:val="en-US"/>
              </w:rPr>
            </w:pPr>
            <w:r w:rsidRPr="005C26D0">
              <w:rPr>
                <w:b/>
                <w:bCs/>
                <w:sz w:val="18"/>
                <w:szCs w:val="18"/>
                <w:lang w:val="en-US"/>
              </w:rPr>
              <w:t xml:space="preserve">4. </w:t>
            </w:r>
          </w:p>
          <w:p w14:paraId="483C1D8B" w14:textId="77777777" w:rsidR="002D6B17" w:rsidRPr="005C26D0" w:rsidRDefault="002D6B17" w:rsidP="002D6B17">
            <w:pPr>
              <w:jc w:val="both"/>
              <w:rPr>
                <w:sz w:val="18"/>
                <w:szCs w:val="18"/>
                <w:lang w:val="en-US"/>
              </w:rPr>
            </w:pPr>
            <w:r w:rsidRPr="005C26D0">
              <w:rPr>
                <w:sz w:val="18"/>
                <w:szCs w:val="18"/>
                <w:lang w:val="en-US"/>
              </w:rPr>
              <w:t xml:space="preserve">Prin </w:t>
            </w:r>
            <w:proofErr w:type="spellStart"/>
            <w:r w:rsidRPr="005C26D0">
              <w:rPr>
                <w:sz w:val="18"/>
                <w:szCs w:val="18"/>
                <w:lang w:val="en-US"/>
              </w:rPr>
              <w:t>derogare</w:t>
            </w:r>
            <w:proofErr w:type="spellEnd"/>
            <w:r w:rsidRPr="005C26D0">
              <w:rPr>
                <w:sz w:val="18"/>
                <w:szCs w:val="18"/>
                <w:lang w:val="en-US"/>
              </w:rPr>
              <w:t xml:space="preserve"> de la </w:t>
            </w:r>
            <w:proofErr w:type="spellStart"/>
            <w:r w:rsidRPr="005C26D0">
              <w:rPr>
                <w:sz w:val="18"/>
                <w:szCs w:val="18"/>
                <w:lang w:val="en-US"/>
              </w:rPr>
              <w:t>punctul</w:t>
            </w:r>
            <w:proofErr w:type="spellEnd"/>
            <w:r w:rsidRPr="005C26D0">
              <w:rPr>
                <w:sz w:val="18"/>
                <w:szCs w:val="18"/>
                <w:lang w:val="en-US"/>
              </w:rPr>
              <w:t xml:space="preserve"> 3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swapurile</w:t>
            </w:r>
            <w:proofErr w:type="spellEnd"/>
            <w:r w:rsidRPr="005C26D0">
              <w:rPr>
                <w:sz w:val="18"/>
                <w:szCs w:val="18"/>
                <w:lang w:val="en-US"/>
              </w:rPr>
              <w:t xml:space="preserve"> </w:t>
            </w:r>
            <w:proofErr w:type="spellStart"/>
            <w:r w:rsidRPr="005C26D0">
              <w:rPr>
                <w:sz w:val="18"/>
                <w:szCs w:val="18"/>
                <w:lang w:val="en-US"/>
              </w:rPr>
              <w:t>încrucișate</w:t>
            </w:r>
            <w:proofErr w:type="spellEnd"/>
            <w:r w:rsidRPr="005C26D0">
              <w:rPr>
                <w:sz w:val="18"/>
                <w:szCs w:val="18"/>
                <w:lang w:val="en-US"/>
              </w:rPr>
              <w:t xml:space="preserve"> pe rata </w:t>
            </w:r>
            <w:proofErr w:type="spellStart"/>
            <w:r w:rsidRPr="005C26D0">
              <w:rPr>
                <w:sz w:val="18"/>
                <w:szCs w:val="18"/>
                <w:lang w:val="en-US"/>
              </w:rPr>
              <w:t>dobânzii</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punctul</w:t>
            </w:r>
            <w:proofErr w:type="spellEnd"/>
            <w:r w:rsidRPr="005C26D0">
              <w:rPr>
                <w:sz w:val="18"/>
                <w:szCs w:val="18"/>
                <w:lang w:val="en-US"/>
              </w:rPr>
              <w:t xml:space="preserve"> 2 </w:t>
            </w:r>
            <w:proofErr w:type="spellStart"/>
            <w:r w:rsidRPr="005C26D0">
              <w:rPr>
                <w:sz w:val="18"/>
                <w:szCs w:val="18"/>
                <w:lang w:val="en-US"/>
              </w:rPr>
              <w:t>litera</w:t>
            </w:r>
            <w:proofErr w:type="spellEnd"/>
            <w:r w:rsidRPr="005C26D0">
              <w:rPr>
                <w:sz w:val="18"/>
                <w:szCs w:val="18"/>
                <w:lang w:val="en-US"/>
              </w:rPr>
              <w:t xml:space="preserve"> a) din </w:t>
            </w:r>
            <w:proofErr w:type="spellStart"/>
            <w:r w:rsidRPr="005C26D0">
              <w:rPr>
                <w:sz w:val="18"/>
                <w:szCs w:val="18"/>
                <w:lang w:val="en-US"/>
              </w:rPr>
              <w:t>anexa</w:t>
            </w:r>
            <w:proofErr w:type="spellEnd"/>
            <w:r w:rsidRPr="005C26D0">
              <w:rPr>
                <w:sz w:val="18"/>
                <w:szCs w:val="18"/>
                <w:lang w:val="en-US"/>
              </w:rPr>
              <w:t xml:space="preserve"> nr.1 la </w:t>
            </w:r>
            <w:proofErr w:type="spellStart"/>
            <w:r w:rsidRPr="005C26D0">
              <w:rPr>
                <w:sz w:val="18"/>
                <w:szCs w:val="18"/>
                <w:lang w:val="en-US"/>
              </w:rPr>
              <w:t>Regulamentul</w:t>
            </w:r>
            <w:proofErr w:type="spellEnd"/>
            <w:r w:rsidRPr="005C26D0">
              <w:rPr>
                <w:sz w:val="18"/>
                <w:szCs w:val="18"/>
                <w:lang w:val="en-US"/>
              </w:rPr>
              <w:t xml:space="preserve"> nr.114/2018, </w:t>
            </w:r>
            <w:proofErr w:type="spellStart"/>
            <w:r w:rsidRPr="005C26D0">
              <w:rPr>
                <w:sz w:val="18"/>
                <w:szCs w:val="18"/>
                <w:lang w:val="en-US"/>
              </w:rPr>
              <w:t>băncile</w:t>
            </w:r>
            <w:proofErr w:type="spellEnd"/>
            <w:r w:rsidRPr="005C26D0">
              <w:rPr>
                <w:sz w:val="18"/>
                <w:szCs w:val="18"/>
                <w:lang w:val="en-US"/>
              </w:rPr>
              <w:t xml:space="preserve"> pot </w:t>
            </w:r>
            <w:proofErr w:type="spellStart"/>
            <w:r w:rsidRPr="005C26D0">
              <w:rPr>
                <w:sz w:val="18"/>
                <w:szCs w:val="18"/>
                <w:lang w:val="en-US"/>
              </w:rPr>
              <w:t>identifica</w:t>
            </w:r>
            <w:proofErr w:type="spellEnd"/>
            <w:r w:rsidRPr="005C26D0">
              <w:rPr>
                <w:sz w:val="18"/>
                <w:szCs w:val="18"/>
                <w:lang w:val="en-US"/>
              </w:rPr>
              <w:t xml:space="preserve"> </w:t>
            </w:r>
            <w:proofErr w:type="spellStart"/>
            <w:r w:rsidRPr="005C26D0">
              <w:rPr>
                <w:sz w:val="18"/>
                <w:szCs w:val="18"/>
                <w:lang w:val="en-US"/>
              </w:rPr>
              <w:t>determinantul</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valutar</w:t>
            </w:r>
            <w:proofErr w:type="spellEnd"/>
            <w:r w:rsidRPr="005C26D0">
              <w:rPr>
                <w:sz w:val="18"/>
                <w:szCs w:val="18"/>
                <w:lang w:val="en-US"/>
              </w:rPr>
              <w:t xml:space="preser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singurul</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al </w:t>
            </w:r>
            <w:proofErr w:type="spellStart"/>
            <w:r w:rsidRPr="005C26D0">
              <w:rPr>
                <w:sz w:val="18"/>
                <w:szCs w:val="18"/>
                <w:lang w:val="en-US"/>
              </w:rPr>
              <w:t>tranzacției</w:t>
            </w:r>
            <w:proofErr w:type="spellEnd"/>
            <w:r w:rsidRPr="005C26D0">
              <w:rPr>
                <w:sz w:val="18"/>
                <w:szCs w:val="18"/>
                <w:lang w:val="en-US"/>
              </w:rPr>
              <w:t xml:space="preserve"> respective.</w:t>
            </w:r>
          </w:p>
          <w:p w14:paraId="53075A1C" w14:textId="77777777" w:rsidR="002D6B17" w:rsidRPr="005C26D0" w:rsidRDefault="002D6B17" w:rsidP="002D6B17">
            <w:pPr>
              <w:pStyle w:val="PlainText"/>
              <w:rPr>
                <w:rFonts w:ascii="Times New Roman" w:hAnsi="Times New Roman" w:cs="Times New Roman"/>
                <w:b/>
                <w:bCs/>
                <w:sz w:val="18"/>
                <w:szCs w:val="18"/>
                <w:lang w:val="ro-MD"/>
              </w:rPr>
            </w:pPr>
          </w:p>
        </w:tc>
        <w:tc>
          <w:tcPr>
            <w:tcW w:w="1229" w:type="dxa"/>
          </w:tcPr>
          <w:p w14:paraId="5C18B7B7" w14:textId="23E168EC" w:rsidR="002D6B17" w:rsidRPr="005C26D0" w:rsidRDefault="002D6B17" w:rsidP="002D6B17">
            <w:pPr>
              <w:jc w:val="both"/>
              <w:rPr>
                <w:bCs/>
                <w:sz w:val="18"/>
                <w:szCs w:val="18"/>
                <w:lang w:val="ro-MD"/>
              </w:rPr>
            </w:pPr>
            <w:r w:rsidRPr="005C26D0">
              <w:rPr>
                <w:bCs/>
                <w:sz w:val="18"/>
                <w:szCs w:val="18"/>
                <w:lang w:val="ro-MD"/>
              </w:rPr>
              <w:t>Compatibil</w:t>
            </w:r>
          </w:p>
        </w:tc>
        <w:tc>
          <w:tcPr>
            <w:tcW w:w="5292" w:type="dxa"/>
            <w:tcBorders>
              <w:bottom w:val="single" w:sz="4" w:space="0" w:color="auto"/>
            </w:tcBorders>
          </w:tcPr>
          <w:p w14:paraId="3B4CD5A0" w14:textId="77777777" w:rsidR="002D6B17" w:rsidRPr="005C26D0" w:rsidRDefault="002D6B17" w:rsidP="002D6B17">
            <w:pPr>
              <w:jc w:val="both"/>
              <w:rPr>
                <w:b/>
                <w:sz w:val="18"/>
                <w:szCs w:val="18"/>
                <w:lang w:val="ro-MD"/>
              </w:rPr>
            </w:pPr>
          </w:p>
        </w:tc>
      </w:tr>
      <w:tr w:rsidR="002D6B17" w:rsidRPr="005C26D0" w14:paraId="0BCD692E" w14:textId="77777777" w:rsidTr="003F5B3C">
        <w:trPr>
          <w:tblHeader/>
        </w:trPr>
        <w:tc>
          <w:tcPr>
            <w:tcW w:w="4253" w:type="dxa"/>
          </w:tcPr>
          <w:p w14:paraId="0334C2F1" w14:textId="77777777" w:rsidR="002D6B17" w:rsidRPr="00694EE2" w:rsidRDefault="002D6B17" w:rsidP="002D6B17">
            <w:pPr>
              <w:shd w:val="clear" w:color="auto" w:fill="FFFFFF"/>
              <w:spacing w:before="240" w:after="120"/>
              <w:jc w:val="center"/>
              <w:rPr>
                <w:i/>
                <w:iCs/>
                <w:color w:val="000000"/>
                <w:sz w:val="18"/>
                <w:szCs w:val="18"/>
                <w:lang w:val="ro-MD" w:eastAsia="ro-MD"/>
              </w:rPr>
            </w:pPr>
            <w:r w:rsidRPr="00694EE2">
              <w:rPr>
                <w:i/>
                <w:iCs/>
                <w:color w:val="000000"/>
                <w:sz w:val="18"/>
                <w:szCs w:val="18"/>
                <w:lang w:val="ro-MD" w:eastAsia="ro-MD"/>
              </w:rPr>
              <w:lastRenderedPageBreak/>
              <w:t>Articolul 3</w:t>
            </w:r>
          </w:p>
          <w:p w14:paraId="1A274077" w14:textId="77777777" w:rsidR="002D6B17" w:rsidRPr="00694EE2" w:rsidRDefault="002D6B17" w:rsidP="002D6B17">
            <w:pPr>
              <w:shd w:val="clear" w:color="auto" w:fill="FFFFFF"/>
              <w:spacing w:before="240" w:after="120"/>
              <w:jc w:val="center"/>
              <w:rPr>
                <w:b/>
                <w:bCs/>
                <w:color w:val="000000"/>
                <w:sz w:val="18"/>
                <w:szCs w:val="18"/>
                <w:lang w:val="ro-MD" w:eastAsia="ro-MD"/>
              </w:rPr>
            </w:pPr>
            <w:r w:rsidRPr="00694EE2">
              <w:rPr>
                <w:b/>
                <w:bCs/>
                <w:color w:val="000000"/>
                <w:sz w:val="18"/>
                <w:szCs w:val="18"/>
                <w:lang w:val="ro-MD" w:eastAsia="ro-MD"/>
              </w:rPr>
              <w:t>Metoda de identificare a tranzacțiilor cu mai mult de un determinant de risc semnificativ</w:t>
            </w:r>
          </w:p>
          <w:p w14:paraId="6EE0CF73" w14:textId="77777777" w:rsidR="002D6B17" w:rsidRPr="00694EE2" w:rsidRDefault="002D6B17" w:rsidP="002D6B17">
            <w:pPr>
              <w:shd w:val="clear" w:color="auto" w:fill="FFFFFF"/>
              <w:spacing w:before="120"/>
              <w:jc w:val="both"/>
              <w:rPr>
                <w:color w:val="000000"/>
                <w:sz w:val="18"/>
                <w:szCs w:val="18"/>
                <w:lang w:val="ro-MD" w:eastAsia="ro-MD"/>
              </w:rPr>
            </w:pPr>
            <w:r w:rsidRPr="00694EE2">
              <w:rPr>
                <w:color w:val="000000"/>
                <w:sz w:val="18"/>
                <w:szCs w:val="18"/>
                <w:lang w:val="ro-MD" w:eastAsia="ro-MD"/>
              </w:rPr>
              <w:t>În sensul articolului 277 alineatul (3) din Regulamentul (UE) nr. 575/2013, instituțiile identifică toate tranzacțiile, altele decât cele menționate la articolul 2, ca fiind tranzacții cu mai mult de un determinant de risc semnificativ.</w:t>
            </w:r>
          </w:p>
          <w:p w14:paraId="722D7C07" w14:textId="77777777" w:rsidR="002D6B17" w:rsidRPr="005C26D0" w:rsidRDefault="002D6B17" w:rsidP="002D6B17">
            <w:pPr>
              <w:ind w:firstLine="426"/>
              <w:jc w:val="both"/>
              <w:rPr>
                <w:rFonts w:eastAsia="MS Mincho"/>
                <w:b/>
                <w:bCs/>
                <w:sz w:val="18"/>
                <w:szCs w:val="18"/>
                <w:lang w:val="ro-MD"/>
              </w:rPr>
            </w:pPr>
          </w:p>
        </w:tc>
        <w:tc>
          <w:tcPr>
            <w:tcW w:w="3685" w:type="dxa"/>
          </w:tcPr>
          <w:p w14:paraId="5C909901" w14:textId="77777777" w:rsidR="002D6B17" w:rsidRPr="005C26D0" w:rsidRDefault="002D6B17" w:rsidP="002D6B17">
            <w:pPr>
              <w:jc w:val="center"/>
              <w:rPr>
                <w:i/>
                <w:iCs/>
                <w:sz w:val="18"/>
                <w:szCs w:val="18"/>
                <w:lang w:val="en-US"/>
              </w:rPr>
            </w:pPr>
            <w:bookmarkStart w:id="0" w:name="_Hlk214628177"/>
            <w:proofErr w:type="spellStart"/>
            <w:r w:rsidRPr="005C26D0">
              <w:rPr>
                <w:i/>
                <w:iCs/>
                <w:sz w:val="18"/>
                <w:szCs w:val="18"/>
                <w:lang w:val="en-US"/>
              </w:rPr>
              <w:t>Secțiunea</w:t>
            </w:r>
            <w:proofErr w:type="spellEnd"/>
            <w:r w:rsidRPr="005C26D0">
              <w:rPr>
                <w:i/>
                <w:iCs/>
                <w:sz w:val="18"/>
                <w:szCs w:val="18"/>
                <w:lang w:val="en-US"/>
              </w:rPr>
              <w:t xml:space="preserve"> a 3-a</w:t>
            </w:r>
          </w:p>
          <w:bookmarkEnd w:id="0"/>
          <w:p w14:paraId="324AA0D1" w14:textId="77777777" w:rsidR="002D6B17" w:rsidRPr="005C26D0" w:rsidRDefault="002D6B17" w:rsidP="002D6B17">
            <w:pPr>
              <w:jc w:val="center"/>
              <w:rPr>
                <w:b/>
                <w:bCs/>
                <w:sz w:val="18"/>
                <w:szCs w:val="18"/>
                <w:lang w:val="en-US"/>
              </w:rPr>
            </w:pPr>
            <w:proofErr w:type="spellStart"/>
            <w:r w:rsidRPr="005C26D0">
              <w:rPr>
                <w:b/>
                <w:bCs/>
                <w:sz w:val="18"/>
                <w:szCs w:val="18"/>
                <w:lang w:val="en-US"/>
              </w:rPr>
              <w:t>Metoda</w:t>
            </w:r>
            <w:proofErr w:type="spellEnd"/>
            <w:r w:rsidRPr="005C26D0">
              <w:rPr>
                <w:b/>
                <w:bCs/>
                <w:sz w:val="18"/>
                <w:szCs w:val="18"/>
                <w:lang w:val="en-US"/>
              </w:rPr>
              <w:t xml:space="preserve"> de </w:t>
            </w:r>
            <w:proofErr w:type="spellStart"/>
            <w:r w:rsidRPr="005C26D0">
              <w:rPr>
                <w:b/>
                <w:bCs/>
                <w:sz w:val="18"/>
                <w:szCs w:val="18"/>
                <w:lang w:val="en-US"/>
              </w:rPr>
              <w:t>identificare</w:t>
            </w:r>
            <w:proofErr w:type="spellEnd"/>
            <w:r w:rsidRPr="005C26D0">
              <w:rPr>
                <w:b/>
                <w:bCs/>
                <w:sz w:val="18"/>
                <w:szCs w:val="18"/>
                <w:lang w:val="en-US"/>
              </w:rPr>
              <w:t xml:space="preserve"> a </w:t>
            </w:r>
            <w:proofErr w:type="spellStart"/>
            <w:r w:rsidRPr="005C26D0">
              <w:rPr>
                <w:b/>
                <w:bCs/>
                <w:sz w:val="18"/>
                <w:szCs w:val="18"/>
                <w:lang w:val="en-US"/>
              </w:rPr>
              <w:t>tranzacțiilor</w:t>
            </w:r>
            <w:proofErr w:type="spellEnd"/>
            <w:r w:rsidRPr="005C26D0">
              <w:rPr>
                <w:b/>
                <w:bCs/>
                <w:sz w:val="18"/>
                <w:szCs w:val="18"/>
                <w:lang w:val="en-US"/>
              </w:rPr>
              <w:t xml:space="preserve"> cu </w:t>
            </w:r>
            <w:proofErr w:type="spellStart"/>
            <w:r w:rsidRPr="005C26D0">
              <w:rPr>
                <w:b/>
                <w:bCs/>
                <w:sz w:val="18"/>
                <w:szCs w:val="18"/>
                <w:lang w:val="en-US"/>
              </w:rPr>
              <w:t>mai</w:t>
            </w:r>
            <w:proofErr w:type="spellEnd"/>
            <w:r w:rsidRPr="005C26D0">
              <w:rPr>
                <w:b/>
                <w:bCs/>
                <w:sz w:val="18"/>
                <w:szCs w:val="18"/>
                <w:lang w:val="en-US"/>
              </w:rPr>
              <w:t xml:space="preserve"> </w:t>
            </w:r>
            <w:proofErr w:type="spellStart"/>
            <w:r w:rsidRPr="005C26D0">
              <w:rPr>
                <w:b/>
                <w:bCs/>
                <w:sz w:val="18"/>
                <w:szCs w:val="18"/>
                <w:lang w:val="en-US"/>
              </w:rPr>
              <w:t>mult</w:t>
            </w:r>
            <w:proofErr w:type="spellEnd"/>
            <w:r w:rsidRPr="005C26D0">
              <w:rPr>
                <w:b/>
                <w:bCs/>
                <w:sz w:val="18"/>
                <w:szCs w:val="18"/>
                <w:lang w:val="en-US"/>
              </w:rPr>
              <w:t xml:space="preserve"> de un determinant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semnificativ</w:t>
            </w:r>
            <w:proofErr w:type="spellEnd"/>
          </w:p>
          <w:p w14:paraId="74084984" w14:textId="77777777" w:rsidR="002D6B17" w:rsidRPr="005C26D0" w:rsidRDefault="002D6B17" w:rsidP="002D6B17">
            <w:pPr>
              <w:jc w:val="both"/>
              <w:rPr>
                <w:sz w:val="18"/>
                <w:szCs w:val="18"/>
                <w:lang w:val="en-US"/>
              </w:rPr>
            </w:pPr>
            <w:r w:rsidRPr="005C26D0">
              <w:rPr>
                <w:b/>
                <w:bCs/>
                <w:sz w:val="18"/>
                <w:szCs w:val="18"/>
                <w:lang w:val="en-US"/>
              </w:rPr>
              <w:t>5.</w:t>
            </w:r>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sensul</w:t>
            </w:r>
            <w:proofErr w:type="spellEnd"/>
            <w:r w:rsidRPr="005C26D0">
              <w:rPr>
                <w:sz w:val="18"/>
                <w:szCs w:val="18"/>
                <w:lang w:val="en-US"/>
              </w:rPr>
              <w:t xml:space="preserve"> </w:t>
            </w:r>
            <w:proofErr w:type="spellStart"/>
            <w:r w:rsidRPr="005C26D0">
              <w:rPr>
                <w:sz w:val="18"/>
                <w:szCs w:val="18"/>
                <w:lang w:val="en-US"/>
              </w:rPr>
              <w:t>punctul</w:t>
            </w:r>
            <w:proofErr w:type="spellEnd"/>
            <w:r w:rsidRPr="005C26D0">
              <w:rPr>
                <w:sz w:val="18"/>
                <w:szCs w:val="18"/>
                <w:lang w:val="en-US"/>
              </w:rPr>
              <w:t xml:space="preserve"> 57 din </w:t>
            </w: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identifică</w:t>
            </w:r>
            <w:proofErr w:type="spellEnd"/>
            <w:r w:rsidRPr="005C26D0">
              <w:rPr>
                <w:sz w:val="18"/>
                <w:szCs w:val="18"/>
                <w:lang w:val="en-US"/>
              </w:rPr>
              <w:t xml:space="preserve"> </w:t>
            </w:r>
            <w:proofErr w:type="spellStart"/>
            <w:r w:rsidRPr="005C26D0">
              <w:rPr>
                <w:sz w:val="18"/>
                <w:szCs w:val="18"/>
                <w:lang w:val="en-US"/>
              </w:rPr>
              <w:t>toate</w:t>
            </w:r>
            <w:proofErr w:type="spellEnd"/>
            <w:r w:rsidRPr="005C26D0">
              <w:rPr>
                <w:sz w:val="18"/>
                <w:szCs w:val="18"/>
                <w:lang w:val="en-US"/>
              </w:rPr>
              <w:t xml:space="preserve"> </w:t>
            </w:r>
            <w:proofErr w:type="spellStart"/>
            <w:r w:rsidRPr="005C26D0">
              <w:rPr>
                <w:sz w:val="18"/>
                <w:szCs w:val="18"/>
                <w:lang w:val="en-US"/>
              </w:rPr>
              <w:t>tranzacțiile</w:t>
            </w:r>
            <w:proofErr w:type="spellEnd"/>
            <w:r w:rsidRPr="005C26D0">
              <w:rPr>
                <w:sz w:val="18"/>
                <w:szCs w:val="18"/>
                <w:lang w:val="en-US"/>
              </w:rPr>
              <w:t xml:space="preserve">, </w:t>
            </w:r>
            <w:proofErr w:type="spellStart"/>
            <w:r w:rsidRPr="005C26D0">
              <w:rPr>
                <w:sz w:val="18"/>
                <w:szCs w:val="18"/>
                <w:lang w:val="en-US"/>
              </w:rPr>
              <w:t>altele</w:t>
            </w:r>
            <w:proofErr w:type="spellEnd"/>
            <w:r w:rsidRPr="005C26D0">
              <w:rPr>
                <w:sz w:val="18"/>
                <w:szCs w:val="18"/>
                <w:lang w:val="en-US"/>
              </w:rPr>
              <w:t xml:space="preserve"> </w:t>
            </w:r>
            <w:proofErr w:type="spellStart"/>
            <w:r w:rsidRPr="005C26D0">
              <w:rPr>
                <w:sz w:val="18"/>
                <w:szCs w:val="18"/>
                <w:lang w:val="en-US"/>
              </w:rPr>
              <w:t>decât</w:t>
            </w:r>
            <w:proofErr w:type="spellEnd"/>
            <w:r w:rsidRPr="005C26D0">
              <w:rPr>
                <w:sz w:val="18"/>
                <w:szCs w:val="18"/>
                <w:lang w:val="en-US"/>
              </w:rPr>
              <w:t xml:space="preserve"> </w:t>
            </w:r>
            <w:proofErr w:type="spellStart"/>
            <w:r w:rsidRPr="005C26D0">
              <w:rPr>
                <w:sz w:val="18"/>
                <w:szCs w:val="18"/>
                <w:lang w:val="en-US"/>
              </w:rPr>
              <w:t>cele</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punctele</w:t>
            </w:r>
            <w:proofErr w:type="spellEnd"/>
            <w:r w:rsidRPr="005C26D0">
              <w:rPr>
                <w:sz w:val="18"/>
                <w:szCs w:val="18"/>
                <w:lang w:val="en-US"/>
              </w:rPr>
              <w:t xml:space="preserve"> 3 </w:t>
            </w:r>
            <w:proofErr w:type="spellStart"/>
            <w:r w:rsidRPr="005C26D0">
              <w:rPr>
                <w:sz w:val="18"/>
                <w:szCs w:val="18"/>
                <w:lang w:val="en-US"/>
              </w:rPr>
              <w:t>și</w:t>
            </w:r>
            <w:proofErr w:type="spellEnd"/>
            <w:r w:rsidRPr="005C26D0">
              <w:rPr>
                <w:sz w:val="18"/>
                <w:szCs w:val="18"/>
                <w:lang w:val="en-US"/>
              </w:rPr>
              <w:t xml:space="preserve"> 4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tranzacții</w:t>
            </w:r>
            <w:proofErr w:type="spellEnd"/>
            <w:r w:rsidRPr="005C26D0">
              <w:rPr>
                <w:sz w:val="18"/>
                <w:szCs w:val="18"/>
                <w:lang w:val="en-US"/>
              </w:rPr>
              <w:t xml:space="preserve"> cu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mult</w:t>
            </w:r>
            <w:proofErr w:type="spellEnd"/>
            <w:r w:rsidRPr="005C26D0">
              <w:rPr>
                <w:sz w:val="18"/>
                <w:szCs w:val="18"/>
                <w:lang w:val="en-US"/>
              </w:rPr>
              <w:t xml:space="preserve"> de un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w:t>
            </w:r>
          </w:p>
          <w:p w14:paraId="55FC1513" w14:textId="77777777" w:rsidR="002D6B17" w:rsidRPr="005C26D0" w:rsidRDefault="002D6B17" w:rsidP="002D6B17">
            <w:pPr>
              <w:pStyle w:val="PlainText"/>
              <w:rPr>
                <w:rFonts w:ascii="Times New Roman" w:hAnsi="Times New Roman" w:cs="Times New Roman"/>
                <w:b/>
                <w:bCs/>
                <w:sz w:val="18"/>
                <w:szCs w:val="18"/>
                <w:lang w:val="ro-MD"/>
              </w:rPr>
            </w:pPr>
          </w:p>
        </w:tc>
        <w:tc>
          <w:tcPr>
            <w:tcW w:w="1229" w:type="dxa"/>
          </w:tcPr>
          <w:p w14:paraId="42C14F8C" w14:textId="4B32E3FD" w:rsidR="002D6B17" w:rsidRPr="005C26D0" w:rsidRDefault="002D6B17" w:rsidP="002D6B17">
            <w:pPr>
              <w:jc w:val="both"/>
              <w:rPr>
                <w:bCs/>
                <w:sz w:val="18"/>
                <w:szCs w:val="18"/>
                <w:lang w:val="ro-MD"/>
              </w:rPr>
            </w:pPr>
            <w:r w:rsidRPr="005C26D0">
              <w:rPr>
                <w:bCs/>
                <w:sz w:val="18"/>
                <w:szCs w:val="18"/>
                <w:lang w:val="ro-MD"/>
              </w:rPr>
              <w:t>Compatibil</w:t>
            </w:r>
          </w:p>
        </w:tc>
        <w:tc>
          <w:tcPr>
            <w:tcW w:w="5292" w:type="dxa"/>
            <w:tcBorders>
              <w:bottom w:val="single" w:sz="4" w:space="0" w:color="auto"/>
            </w:tcBorders>
          </w:tcPr>
          <w:p w14:paraId="0D1578F1" w14:textId="77777777" w:rsidR="002D6B17" w:rsidRPr="005C26D0" w:rsidRDefault="002D6B17" w:rsidP="002D6B17">
            <w:pPr>
              <w:jc w:val="both"/>
              <w:rPr>
                <w:b/>
                <w:sz w:val="18"/>
                <w:szCs w:val="18"/>
                <w:lang w:val="ro-MD"/>
              </w:rPr>
            </w:pPr>
          </w:p>
        </w:tc>
      </w:tr>
      <w:tr w:rsidR="002D6B17" w:rsidRPr="005C26D0" w14:paraId="4B930B83" w14:textId="77777777" w:rsidTr="003F5B3C">
        <w:trPr>
          <w:tblHeader/>
        </w:trPr>
        <w:tc>
          <w:tcPr>
            <w:tcW w:w="4253" w:type="dxa"/>
          </w:tcPr>
          <w:p w14:paraId="791B95F1" w14:textId="288120BB" w:rsidR="002D6B17" w:rsidRPr="005C26D0" w:rsidRDefault="002D6B17" w:rsidP="002D6B17">
            <w:pPr>
              <w:pStyle w:val="title-article-norm"/>
              <w:shd w:val="clear" w:color="auto" w:fill="FFFFFF"/>
              <w:jc w:val="left"/>
              <w:rPr>
                <w:color w:val="000000"/>
                <w:sz w:val="18"/>
                <w:szCs w:val="18"/>
                <w:lang w:val="ro-MD" w:eastAsia="ro-MD"/>
              </w:rPr>
            </w:pPr>
            <w:proofErr w:type="spellStart"/>
            <w:r w:rsidRPr="005C26D0">
              <w:rPr>
                <w:i w:val="0"/>
                <w:iCs w:val="0"/>
                <w:color w:val="000000"/>
                <w:sz w:val="18"/>
                <w:szCs w:val="18"/>
              </w:rPr>
              <w:lastRenderedPageBreak/>
              <w:t>Articolul</w:t>
            </w:r>
            <w:proofErr w:type="spellEnd"/>
            <w:r w:rsidRPr="005C26D0">
              <w:rPr>
                <w:i w:val="0"/>
                <w:iCs w:val="0"/>
                <w:color w:val="000000"/>
                <w:sz w:val="18"/>
                <w:szCs w:val="18"/>
              </w:rPr>
              <w:t> 4</w:t>
            </w:r>
            <w:r>
              <w:rPr>
                <w:i w:val="0"/>
                <w:iCs w:val="0"/>
                <w:color w:val="000000"/>
                <w:sz w:val="18"/>
                <w:szCs w:val="18"/>
              </w:rPr>
              <w:t xml:space="preserve"> </w:t>
            </w:r>
            <w:proofErr w:type="spellStart"/>
            <w:r w:rsidRPr="005C26D0">
              <w:rPr>
                <w:b/>
                <w:bCs/>
                <w:color w:val="000000"/>
                <w:sz w:val="18"/>
                <w:szCs w:val="18"/>
              </w:rPr>
              <w:t>Metoda</w:t>
            </w:r>
            <w:proofErr w:type="spellEnd"/>
            <w:r w:rsidRPr="005C26D0">
              <w:rPr>
                <w:b/>
                <w:bCs/>
                <w:color w:val="000000"/>
                <w:sz w:val="18"/>
                <w:szCs w:val="18"/>
              </w:rPr>
              <w:t xml:space="preserve"> de </w:t>
            </w:r>
            <w:proofErr w:type="spellStart"/>
            <w:r w:rsidRPr="005C26D0">
              <w:rPr>
                <w:b/>
                <w:bCs/>
                <w:color w:val="000000"/>
                <w:sz w:val="18"/>
                <w:szCs w:val="18"/>
              </w:rPr>
              <w:t>identificare</w:t>
            </w:r>
            <w:proofErr w:type="spellEnd"/>
            <w:r w:rsidRPr="005C26D0">
              <w:rPr>
                <w:b/>
                <w:bCs/>
                <w:color w:val="000000"/>
                <w:sz w:val="18"/>
                <w:szCs w:val="18"/>
              </w:rPr>
              <w:t xml:space="preserve"> a </w:t>
            </w:r>
            <w:proofErr w:type="spellStart"/>
            <w:r w:rsidRPr="005C26D0">
              <w:rPr>
                <w:b/>
                <w:bCs/>
                <w:color w:val="000000"/>
                <w:sz w:val="18"/>
                <w:szCs w:val="18"/>
              </w:rPr>
              <w:t>determinanților</w:t>
            </w:r>
            <w:proofErr w:type="spellEnd"/>
            <w:r w:rsidRPr="005C26D0">
              <w:rPr>
                <w:b/>
                <w:bCs/>
                <w:color w:val="000000"/>
                <w:sz w:val="18"/>
                <w:szCs w:val="18"/>
              </w:rPr>
              <w:t xml:space="preserve"> de </w:t>
            </w:r>
            <w:proofErr w:type="spellStart"/>
            <w:r w:rsidRPr="005C26D0">
              <w:rPr>
                <w:b/>
                <w:bCs/>
                <w:color w:val="000000"/>
                <w:sz w:val="18"/>
                <w:szCs w:val="18"/>
              </w:rPr>
              <w:t>risc</w:t>
            </w:r>
            <w:proofErr w:type="spellEnd"/>
            <w:r w:rsidRPr="005C26D0">
              <w:rPr>
                <w:b/>
                <w:bCs/>
                <w:color w:val="000000"/>
                <w:sz w:val="18"/>
                <w:szCs w:val="18"/>
              </w:rPr>
              <w:t xml:space="preserve"> </w:t>
            </w:r>
            <w:proofErr w:type="spellStart"/>
            <w:r w:rsidRPr="005C26D0">
              <w:rPr>
                <w:b/>
                <w:bCs/>
                <w:color w:val="000000"/>
                <w:sz w:val="18"/>
                <w:szCs w:val="18"/>
              </w:rPr>
              <w:t>semnificativi</w:t>
            </w:r>
            <w:proofErr w:type="spellEnd"/>
            <w:r w:rsidRPr="005C26D0">
              <w:rPr>
                <w:b/>
                <w:bCs/>
                <w:color w:val="000000"/>
                <w:sz w:val="18"/>
                <w:szCs w:val="18"/>
              </w:rPr>
              <w:t xml:space="preserve"> </w:t>
            </w:r>
            <w:proofErr w:type="spellStart"/>
            <w:r w:rsidRPr="005C26D0">
              <w:rPr>
                <w:b/>
                <w:bCs/>
                <w:color w:val="000000"/>
                <w:sz w:val="18"/>
                <w:szCs w:val="18"/>
              </w:rPr>
              <w:t>și</w:t>
            </w:r>
            <w:proofErr w:type="spellEnd"/>
            <w:r w:rsidRPr="005C26D0">
              <w:rPr>
                <w:b/>
                <w:bCs/>
                <w:color w:val="000000"/>
                <w:sz w:val="18"/>
                <w:szCs w:val="18"/>
              </w:rPr>
              <w:t xml:space="preserve"> a </w:t>
            </w:r>
            <w:proofErr w:type="spellStart"/>
            <w:r w:rsidRPr="005C26D0">
              <w:rPr>
                <w:b/>
                <w:bCs/>
                <w:color w:val="000000"/>
                <w:sz w:val="18"/>
                <w:szCs w:val="18"/>
              </w:rPr>
              <w:t>celui</w:t>
            </w:r>
            <w:proofErr w:type="spellEnd"/>
            <w:r w:rsidRPr="005C26D0">
              <w:rPr>
                <w:b/>
                <w:bCs/>
                <w:color w:val="000000"/>
                <w:sz w:val="18"/>
                <w:szCs w:val="18"/>
              </w:rPr>
              <w:t xml:space="preserve"> </w:t>
            </w:r>
            <w:proofErr w:type="spellStart"/>
            <w:r w:rsidRPr="005C26D0">
              <w:rPr>
                <w:b/>
                <w:bCs/>
                <w:color w:val="000000"/>
                <w:sz w:val="18"/>
                <w:szCs w:val="18"/>
              </w:rPr>
              <w:t>mai</w:t>
            </w:r>
            <w:proofErr w:type="spellEnd"/>
            <w:r w:rsidRPr="005C26D0">
              <w:rPr>
                <w:b/>
                <w:bCs/>
                <w:color w:val="000000"/>
                <w:sz w:val="18"/>
                <w:szCs w:val="18"/>
              </w:rPr>
              <w:t xml:space="preserve"> </w:t>
            </w:r>
            <w:proofErr w:type="spellStart"/>
            <w:r w:rsidRPr="005C26D0">
              <w:rPr>
                <w:b/>
                <w:bCs/>
                <w:color w:val="000000"/>
                <w:sz w:val="18"/>
                <w:szCs w:val="18"/>
              </w:rPr>
              <w:t>semnificativ</w:t>
            </w:r>
            <w:proofErr w:type="spellEnd"/>
            <w:r w:rsidRPr="005C26D0">
              <w:rPr>
                <w:b/>
                <w:bCs/>
                <w:color w:val="000000"/>
                <w:sz w:val="18"/>
                <w:szCs w:val="18"/>
              </w:rPr>
              <w:t xml:space="preserve"> </w:t>
            </w:r>
            <w:proofErr w:type="spellStart"/>
            <w:r w:rsidRPr="005C26D0">
              <w:rPr>
                <w:b/>
                <w:bCs/>
                <w:color w:val="000000"/>
                <w:sz w:val="18"/>
                <w:szCs w:val="18"/>
              </w:rPr>
              <w:t>dintre</w:t>
            </w:r>
            <w:proofErr w:type="spellEnd"/>
            <w:r w:rsidRPr="005C26D0">
              <w:rPr>
                <w:b/>
                <w:bCs/>
                <w:color w:val="000000"/>
                <w:sz w:val="18"/>
                <w:szCs w:val="18"/>
              </w:rPr>
              <w:t xml:space="preserve"> </w:t>
            </w:r>
            <w:proofErr w:type="spellStart"/>
            <w:r w:rsidRPr="005C26D0">
              <w:rPr>
                <w:b/>
                <w:bCs/>
                <w:color w:val="000000"/>
                <w:sz w:val="18"/>
                <w:szCs w:val="18"/>
              </w:rPr>
              <w:t>determinanții</w:t>
            </w:r>
            <w:proofErr w:type="spellEnd"/>
            <w:r w:rsidRPr="005C26D0">
              <w:rPr>
                <w:b/>
                <w:bCs/>
                <w:color w:val="000000"/>
                <w:sz w:val="18"/>
                <w:szCs w:val="18"/>
              </w:rPr>
              <w:t xml:space="preserve"> de </w:t>
            </w:r>
            <w:proofErr w:type="spellStart"/>
            <w:r w:rsidRPr="005C26D0">
              <w:rPr>
                <w:b/>
                <w:bCs/>
                <w:color w:val="000000"/>
                <w:sz w:val="18"/>
                <w:szCs w:val="18"/>
              </w:rPr>
              <w:t>risc</w:t>
            </w:r>
            <w:proofErr w:type="spellEnd"/>
            <w:r w:rsidRPr="005C26D0">
              <w:rPr>
                <w:b/>
                <w:bCs/>
                <w:color w:val="000000"/>
                <w:sz w:val="18"/>
                <w:szCs w:val="18"/>
              </w:rPr>
              <w:t xml:space="preserve"> </w:t>
            </w:r>
            <w:proofErr w:type="spellStart"/>
            <w:r w:rsidRPr="005C26D0">
              <w:rPr>
                <w:b/>
                <w:bCs/>
                <w:color w:val="000000"/>
                <w:sz w:val="18"/>
                <w:szCs w:val="18"/>
              </w:rPr>
              <w:t>respectivi</w:t>
            </w:r>
            <w:proofErr w:type="spellEnd"/>
          </w:p>
          <w:p w14:paraId="65685EE4" w14:textId="5FAE042C" w:rsidR="002D6B17" w:rsidRPr="005C26D0" w:rsidRDefault="002D6B17" w:rsidP="002D6B17">
            <w:pPr>
              <w:shd w:val="clear" w:color="auto" w:fill="FFFFFF"/>
              <w:rPr>
                <w:color w:val="000000"/>
                <w:sz w:val="18"/>
                <w:szCs w:val="18"/>
                <w:lang w:val="en-US"/>
              </w:rPr>
            </w:pPr>
            <w:r w:rsidRPr="005C26D0">
              <w:rPr>
                <w:rStyle w:val="no-parag"/>
                <w:color w:val="000000"/>
                <w:sz w:val="18"/>
                <w:szCs w:val="18"/>
                <w:lang w:val="en-US"/>
              </w:rPr>
              <w:t>(1) </w:t>
            </w:r>
            <w:proofErr w:type="spellStart"/>
            <w:r w:rsidRPr="005C26D0">
              <w:rPr>
                <w:color w:val="000000"/>
                <w:sz w:val="18"/>
                <w:szCs w:val="18"/>
                <w:lang w:val="en-US"/>
              </w:rPr>
              <w:t>După</w:t>
            </w:r>
            <w:proofErr w:type="spellEnd"/>
            <w:r w:rsidRPr="005C26D0">
              <w:rPr>
                <w:color w:val="000000"/>
                <w:sz w:val="18"/>
                <w:szCs w:val="18"/>
                <w:lang w:val="en-US"/>
              </w:rPr>
              <w:t xml:space="preserve"> </w:t>
            </w:r>
            <w:proofErr w:type="spellStart"/>
            <w:r w:rsidRPr="005C26D0">
              <w:rPr>
                <w:color w:val="000000"/>
                <w:sz w:val="18"/>
                <w:szCs w:val="18"/>
                <w:lang w:val="en-US"/>
              </w:rPr>
              <w:t>identificarea</w:t>
            </w:r>
            <w:proofErr w:type="spellEnd"/>
            <w:r w:rsidRPr="005C26D0">
              <w:rPr>
                <w:color w:val="000000"/>
                <w:sz w:val="18"/>
                <w:szCs w:val="18"/>
                <w:lang w:val="en-US"/>
              </w:rPr>
              <w:t xml:space="preserve"> </w:t>
            </w:r>
            <w:proofErr w:type="spellStart"/>
            <w:r w:rsidRPr="005C26D0">
              <w:rPr>
                <w:color w:val="000000"/>
                <w:sz w:val="18"/>
                <w:szCs w:val="18"/>
                <w:lang w:val="en-US"/>
              </w:rPr>
              <w:t>tuturor</w:t>
            </w:r>
            <w:proofErr w:type="spellEnd"/>
            <w:r w:rsidRPr="005C26D0">
              <w:rPr>
                <w:color w:val="000000"/>
                <w:sz w:val="18"/>
                <w:szCs w:val="18"/>
                <w:lang w:val="en-US"/>
              </w:rPr>
              <w:t xml:space="preserve"> </w:t>
            </w:r>
            <w:proofErr w:type="spellStart"/>
            <w:r w:rsidRPr="005C26D0">
              <w:rPr>
                <w:color w:val="000000"/>
                <w:sz w:val="18"/>
                <w:szCs w:val="18"/>
                <w:lang w:val="en-US"/>
              </w:rPr>
              <w:t>determinanților</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ai </w:t>
            </w:r>
            <w:proofErr w:type="spellStart"/>
            <w:r w:rsidRPr="005C26D0">
              <w:rPr>
                <w:color w:val="000000"/>
                <w:sz w:val="18"/>
                <w:szCs w:val="18"/>
                <w:lang w:val="en-US"/>
              </w:rPr>
              <w:t>unei</w:t>
            </w:r>
            <w:proofErr w:type="spellEnd"/>
            <w:r w:rsidRPr="005C26D0">
              <w:rPr>
                <w:color w:val="000000"/>
                <w:sz w:val="18"/>
                <w:szCs w:val="18"/>
                <w:lang w:val="en-US"/>
              </w:rPr>
              <w:t xml:space="preserve"> </w:t>
            </w:r>
            <w:proofErr w:type="spellStart"/>
            <w:r w:rsidRPr="005C26D0">
              <w:rPr>
                <w:color w:val="000000"/>
                <w:sz w:val="18"/>
                <w:szCs w:val="18"/>
                <w:lang w:val="en-US"/>
              </w:rPr>
              <w:t>tranzacții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articolul</w:t>
            </w:r>
            <w:proofErr w:type="spellEnd"/>
            <w:r w:rsidRPr="005C26D0">
              <w:rPr>
                <w:color w:val="000000"/>
                <w:sz w:val="18"/>
                <w:szCs w:val="18"/>
                <w:lang w:val="en-US"/>
              </w:rPr>
              <w:t xml:space="preserve"> 1 </w:t>
            </w:r>
            <w:proofErr w:type="spellStart"/>
            <w:r w:rsidRPr="005C26D0">
              <w:rPr>
                <w:color w:val="000000"/>
                <w:sz w:val="18"/>
                <w:szCs w:val="18"/>
                <w:lang w:val="en-US"/>
              </w:rPr>
              <w:t>și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cazul</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care </w:t>
            </w:r>
            <w:proofErr w:type="spellStart"/>
            <w:r w:rsidRPr="005C26D0">
              <w:rPr>
                <w:color w:val="000000"/>
                <w:sz w:val="18"/>
                <w:szCs w:val="18"/>
                <w:lang w:val="en-US"/>
              </w:rPr>
              <w:t>fluxurile</w:t>
            </w:r>
            <w:proofErr w:type="spellEnd"/>
            <w:r w:rsidRPr="005C26D0">
              <w:rPr>
                <w:color w:val="000000"/>
                <w:sz w:val="18"/>
                <w:szCs w:val="18"/>
                <w:lang w:val="en-US"/>
              </w:rPr>
              <w:t xml:space="preserve"> de </w:t>
            </w:r>
            <w:proofErr w:type="spellStart"/>
            <w:r w:rsidRPr="005C26D0">
              <w:rPr>
                <w:color w:val="000000"/>
                <w:sz w:val="18"/>
                <w:szCs w:val="18"/>
                <w:lang w:val="en-US"/>
              </w:rPr>
              <w:t>trezorerie</w:t>
            </w:r>
            <w:proofErr w:type="spellEnd"/>
            <w:r w:rsidRPr="005C26D0">
              <w:rPr>
                <w:color w:val="000000"/>
                <w:sz w:val="18"/>
                <w:szCs w:val="18"/>
                <w:lang w:val="en-US"/>
              </w:rPr>
              <w:t xml:space="preserve"> ale </w:t>
            </w:r>
            <w:proofErr w:type="spellStart"/>
            <w:r w:rsidRPr="005C26D0">
              <w:rPr>
                <w:color w:val="000000"/>
                <w:sz w:val="18"/>
                <w:szCs w:val="18"/>
                <w:lang w:val="en-US"/>
              </w:rPr>
              <w:t>tranzacției</w:t>
            </w:r>
            <w:proofErr w:type="spellEnd"/>
            <w:r w:rsidRPr="005C26D0">
              <w:rPr>
                <w:color w:val="000000"/>
                <w:sz w:val="18"/>
                <w:szCs w:val="18"/>
                <w:lang w:val="en-US"/>
              </w:rPr>
              <w:t xml:space="preserve"> </w:t>
            </w:r>
            <w:proofErr w:type="spellStart"/>
            <w:r w:rsidRPr="005C26D0">
              <w:rPr>
                <w:color w:val="000000"/>
                <w:sz w:val="18"/>
                <w:szCs w:val="18"/>
                <w:lang w:val="en-US"/>
              </w:rPr>
              <w:t>depind</w:t>
            </w:r>
            <w:proofErr w:type="spellEnd"/>
            <w:r w:rsidRPr="005C26D0">
              <w:rPr>
                <w:color w:val="000000"/>
                <w:sz w:val="18"/>
                <w:szCs w:val="18"/>
                <w:lang w:val="en-US"/>
              </w:rPr>
              <w:t xml:space="preserve"> de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mult</w:t>
            </w:r>
            <w:proofErr w:type="spellEnd"/>
            <w:r w:rsidRPr="005C26D0">
              <w:rPr>
                <w:color w:val="000000"/>
                <w:sz w:val="18"/>
                <w:szCs w:val="18"/>
                <w:lang w:val="en-US"/>
              </w:rPr>
              <w:t xml:space="preserve"> de un determinant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instituțiile</w:t>
            </w:r>
            <w:proofErr w:type="spellEnd"/>
            <w:r w:rsidRPr="005C26D0">
              <w:rPr>
                <w:color w:val="000000"/>
                <w:sz w:val="18"/>
                <w:szCs w:val="18"/>
                <w:lang w:val="en-US"/>
              </w:rPr>
              <w:t xml:space="preserve"> </w:t>
            </w:r>
            <w:proofErr w:type="spellStart"/>
            <w:r w:rsidRPr="005C26D0">
              <w:rPr>
                <w:color w:val="000000"/>
                <w:sz w:val="18"/>
                <w:szCs w:val="18"/>
                <w:lang w:val="en-US"/>
              </w:rPr>
              <w:t>identifică</w:t>
            </w:r>
            <w:proofErr w:type="spellEnd"/>
            <w:r w:rsidRPr="005C26D0">
              <w:rPr>
                <w:color w:val="000000"/>
                <w:sz w:val="18"/>
                <w:szCs w:val="18"/>
                <w:lang w:val="en-US"/>
              </w:rPr>
              <w:t xml:space="preserve"> </w:t>
            </w:r>
            <w:proofErr w:type="spellStart"/>
            <w:r w:rsidRPr="005C26D0">
              <w:rPr>
                <w:color w:val="000000"/>
                <w:sz w:val="18"/>
                <w:szCs w:val="18"/>
                <w:lang w:val="en-US"/>
              </w:rPr>
              <w:t>determinanții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semnificativi</w:t>
            </w:r>
            <w:proofErr w:type="spellEnd"/>
            <w:r w:rsidRPr="005C26D0">
              <w:rPr>
                <w:color w:val="000000"/>
                <w:sz w:val="18"/>
                <w:szCs w:val="18"/>
                <w:lang w:val="en-US"/>
              </w:rPr>
              <w:t xml:space="preserve"> </w:t>
            </w:r>
            <w:proofErr w:type="spellStart"/>
            <w:r w:rsidRPr="005C26D0">
              <w:rPr>
                <w:color w:val="000000"/>
                <w:sz w:val="18"/>
                <w:szCs w:val="18"/>
                <w:lang w:val="en-US"/>
              </w:rPr>
              <w:t>și</w:t>
            </w:r>
            <w:proofErr w:type="spellEnd"/>
            <w:r w:rsidRPr="005C26D0">
              <w:rPr>
                <w:color w:val="000000"/>
                <w:sz w:val="18"/>
                <w:szCs w:val="18"/>
                <w:lang w:val="en-US"/>
              </w:rPr>
              <w:t xml:space="preserve"> pe cel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semnificativ</w:t>
            </w:r>
            <w:proofErr w:type="spellEnd"/>
            <w:r w:rsidRPr="005C26D0">
              <w:rPr>
                <w:color w:val="000000"/>
                <w:sz w:val="18"/>
                <w:szCs w:val="18"/>
                <w:lang w:val="en-US"/>
              </w:rPr>
              <w:t xml:space="preserve"> </w:t>
            </w:r>
            <w:proofErr w:type="spellStart"/>
            <w:r w:rsidRPr="005C26D0">
              <w:rPr>
                <w:color w:val="000000"/>
                <w:sz w:val="18"/>
                <w:szCs w:val="18"/>
                <w:lang w:val="en-US"/>
              </w:rPr>
              <w:t>dintre</w:t>
            </w:r>
            <w:proofErr w:type="spellEnd"/>
            <w:r w:rsidRPr="005C26D0">
              <w:rPr>
                <w:color w:val="000000"/>
                <w:sz w:val="18"/>
                <w:szCs w:val="18"/>
                <w:lang w:val="en-US"/>
              </w:rPr>
              <w:t xml:space="preserve"> </w:t>
            </w:r>
            <w:proofErr w:type="spellStart"/>
            <w:r w:rsidRPr="005C26D0">
              <w:rPr>
                <w:color w:val="000000"/>
                <w:sz w:val="18"/>
                <w:szCs w:val="18"/>
                <w:lang w:val="en-US"/>
              </w:rPr>
              <w:t>respectivii</w:t>
            </w:r>
            <w:proofErr w:type="spellEnd"/>
            <w:r w:rsidRPr="005C26D0">
              <w:rPr>
                <w:color w:val="000000"/>
                <w:sz w:val="18"/>
                <w:szCs w:val="18"/>
                <w:lang w:val="en-US"/>
              </w:rPr>
              <w:t xml:space="preserve"> </w:t>
            </w:r>
            <w:proofErr w:type="spellStart"/>
            <w:r w:rsidRPr="005C26D0">
              <w:rPr>
                <w:color w:val="000000"/>
                <w:sz w:val="18"/>
                <w:szCs w:val="18"/>
                <w:lang w:val="en-US"/>
              </w:rPr>
              <w:t>determinanți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prin</w:t>
            </w:r>
            <w:proofErr w:type="spellEnd"/>
            <w:r w:rsidRPr="005C26D0">
              <w:rPr>
                <w:color w:val="000000"/>
                <w:sz w:val="18"/>
                <w:szCs w:val="18"/>
                <w:lang w:val="en-US"/>
              </w:rPr>
              <w:t xml:space="preserve"> </w:t>
            </w:r>
            <w:proofErr w:type="spellStart"/>
            <w:r w:rsidRPr="005C26D0">
              <w:rPr>
                <w:color w:val="000000"/>
                <w:sz w:val="18"/>
                <w:szCs w:val="18"/>
                <w:lang w:val="en-US"/>
              </w:rPr>
              <w:t>aplicarea</w:t>
            </w:r>
            <w:proofErr w:type="spellEnd"/>
            <w:r w:rsidRPr="005C26D0">
              <w:rPr>
                <w:color w:val="000000"/>
                <w:sz w:val="18"/>
                <w:szCs w:val="18"/>
                <w:lang w:val="en-US"/>
              </w:rPr>
              <w:t xml:space="preserve"> </w:t>
            </w:r>
            <w:proofErr w:type="spellStart"/>
            <w:r w:rsidRPr="005C26D0">
              <w:rPr>
                <w:color w:val="000000"/>
                <w:sz w:val="18"/>
                <w:szCs w:val="18"/>
                <w:lang w:val="en-US"/>
              </w:rPr>
              <w:t>uneia</w:t>
            </w:r>
            <w:proofErr w:type="spellEnd"/>
            <w:r w:rsidRPr="005C26D0">
              <w:rPr>
                <w:color w:val="000000"/>
                <w:sz w:val="18"/>
                <w:szCs w:val="18"/>
                <w:lang w:val="en-US"/>
              </w:rPr>
              <w:t xml:space="preserve"> </w:t>
            </w:r>
            <w:proofErr w:type="spellStart"/>
            <w:r w:rsidRPr="005C26D0">
              <w:rPr>
                <w:color w:val="000000"/>
                <w:sz w:val="18"/>
                <w:szCs w:val="18"/>
                <w:lang w:val="en-US"/>
              </w:rPr>
              <w:t>dintre</w:t>
            </w:r>
            <w:proofErr w:type="spellEnd"/>
            <w:r w:rsidRPr="005C26D0">
              <w:rPr>
                <w:color w:val="000000"/>
                <w:sz w:val="18"/>
                <w:szCs w:val="18"/>
                <w:lang w:val="en-US"/>
              </w:rPr>
              <w:t xml:space="preserve"> </w:t>
            </w:r>
            <w:proofErr w:type="spellStart"/>
            <w:r w:rsidRPr="005C26D0">
              <w:rPr>
                <w:color w:val="000000"/>
                <w:sz w:val="18"/>
                <w:szCs w:val="18"/>
                <w:lang w:val="en-US"/>
              </w:rPr>
              <w:t>metodele</w:t>
            </w:r>
            <w:proofErr w:type="spellEnd"/>
            <w:r w:rsidRPr="005C26D0">
              <w:rPr>
                <w:color w:val="000000"/>
                <w:sz w:val="18"/>
                <w:szCs w:val="18"/>
                <w:lang w:val="en-US"/>
              </w:rPr>
              <w:t xml:space="preserve"> </w:t>
            </w:r>
            <w:proofErr w:type="spellStart"/>
            <w:r w:rsidRPr="005C26D0">
              <w:rPr>
                <w:color w:val="000000"/>
                <w:sz w:val="18"/>
                <w:szCs w:val="18"/>
                <w:lang w:val="en-US"/>
              </w:rPr>
              <w:t>prevăzute</w:t>
            </w:r>
            <w:proofErr w:type="spellEnd"/>
            <w:r w:rsidRPr="005C26D0">
              <w:rPr>
                <w:color w:val="000000"/>
                <w:sz w:val="18"/>
                <w:szCs w:val="18"/>
                <w:lang w:val="en-US"/>
              </w:rPr>
              <w:t xml:space="preserve"> la </w:t>
            </w:r>
            <w:proofErr w:type="spellStart"/>
            <w:r w:rsidRPr="005C26D0">
              <w:rPr>
                <w:color w:val="000000"/>
                <w:sz w:val="18"/>
                <w:szCs w:val="18"/>
                <w:lang w:val="en-US"/>
              </w:rPr>
              <w:t>alineatele</w:t>
            </w:r>
            <w:proofErr w:type="spellEnd"/>
            <w:r w:rsidRPr="005C26D0">
              <w:rPr>
                <w:color w:val="000000"/>
                <w:sz w:val="18"/>
                <w:szCs w:val="18"/>
                <w:lang w:val="en-US"/>
              </w:rPr>
              <w:t xml:space="preserve"> (2), (3) </w:t>
            </w:r>
            <w:proofErr w:type="spellStart"/>
            <w:r w:rsidRPr="005C26D0">
              <w:rPr>
                <w:color w:val="000000"/>
                <w:sz w:val="18"/>
                <w:szCs w:val="18"/>
                <w:lang w:val="en-US"/>
              </w:rPr>
              <w:t>și</w:t>
            </w:r>
            <w:proofErr w:type="spellEnd"/>
            <w:r w:rsidRPr="005C26D0">
              <w:rPr>
                <w:color w:val="000000"/>
                <w:sz w:val="18"/>
                <w:szCs w:val="18"/>
                <w:lang w:val="en-US"/>
              </w:rPr>
              <w:t xml:space="preserve"> (4), </w:t>
            </w:r>
            <w:proofErr w:type="spellStart"/>
            <w:r w:rsidRPr="005C26D0">
              <w:rPr>
                <w:color w:val="000000"/>
                <w:sz w:val="18"/>
                <w:szCs w:val="18"/>
                <w:lang w:val="en-US"/>
              </w:rPr>
              <w:t>după</w:t>
            </w:r>
            <w:proofErr w:type="spellEnd"/>
            <w:r w:rsidRPr="005C26D0">
              <w:rPr>
                <w:color w:val="000000"/>
                <w:sz w:val="18"/>
                <w:szCs w:val="18"/>
                <w:lang w:val="en-US"/>
              </w:rPr>
              <w:t xml:space="preserve"> </w:t>
            </w:r>
            <w:proofErr w:type="spellStart"/>
            <w:r w:rsidRPr="005C26D0">
              <w:rPr>
                <w:color w:val="000000"/>
                <w:sz w:val="18"/>
                <w:szCs w:val="18"/>
                <w:lang w:val="en-US"/>
              </w:rPr>
              <w:t>caz</w:t>
            </w:r>
            <w:proofErr w:type="spellEnd"/>
            <w:r w:rsidRPr="005C26D0">
              <w:rPr>
                <w:color w:val="000000"/>
                <w:sz w:val="18"/>
                <w:szCs w:val="18"/>
                <w:lang w:val="en-US"/>
              </w:rPr>
              <w:t>.</w:t>
            </w:r>
          </w:p>
          <w:p w14:paraId="4519490F" w14:textId="4F1C6A97" w:rsidR="002D6B17" w:rsidRPr="005C26D0" w:rsidRDefault="002D6B17" w:rsidP="002D6B17">
            <w:pPr>
              <w:shd w:val="clear" w:color="auto" w:fill="FFFFFF"/>
              <w:rPr>
                <w:color w:val="000000"/>
                <w:sz w:val="18"/>
                <w:szCs w:val="18"/>
                <w:lang w:val="en-US"/>
              </w:rPr>
            </w:pPr>
            <w:r w:rsidRPr="005C26D0">
              <w:rPr>
                <w:rStyle w:val="no-parag"/>
                <w:color w:val="000000"/>
                <w:sz w:val="18"/>
                <w:szCs w:val="18"/>
                <w:lang w:val="en-US"/>
              </w:rPr>
              <w:t>(2) </w:t>
            </w:r>
            <w:proofErr w:type="spellStart"/>
            <w:r w:rsidRPr="005C26D0">
              <w:rPr>
                <w:color w:val="000000"/>
                <w:sz w:val="18"/>
                <w:szCs w:val="18"/>
                <w:lang w:val="en-US"/>
              </w:rPr>
              <w:t>Instituțiile</w:t>
            </w:r>
            <w:proofErr w:type="spellEnd"/>
            <w:r w:rsidRPr="005C26D0">
              <w:rPr>
                <w:color w:val="000000"/>
                <w:sz w:val="18"/>
                <w:szCs w:val="18"/>
                <w:lang w:val="en-US"/>
              </w:rPr>
              <w:t xml:space="preserve"> </w:t>
            </w:r>
            <w:proofErr w:type="spellStart"/>
            <w:r w:rsidRPr="005C26D0">
              <w:rPr>
                <w:color w:val="000000"/>
                <w:sz w:val="18"/>
                <w:szCs w:val="18"/>
                <w:lang w:val="en-US"/>
              </w:rPr>
              <w:t>aplică</w:t>
            </w:r>
            <w:proofErr w:type="spellEnd"/>
            <w:r w:rsidRPr="005C26D0">
              <w:rPr>
                <w:color w:val="000000"/>
                <w:sz w:val="18"/>
                <w:szCs w:val="18"/>
                <w:lang w:val="en-US"/>
              </w:rPr>
              <w:t xml:space="preserve"> </w:t>
            </w:r>
            <w:proofErr w:type="spellStart"/>
            <w:r w:rsidRPr="005C26D0">
              <w:rPr>
                <w:color w:val="000000"/>
                <w:sz w:val="18"/>
                <w:szCs w:val="18"/>
                <w:lang w:val="en-US"/>
              </w:rPr>
              <w:t>următoarele</w:t>
            </w:r>
            <w:proofErr w:type="spellEnd"/>
            <w:r w:rsidRPr="005C26D0">
              <w:rPr>
                <w:color w:val="000000"/>
                <w:sz w:val="18"/>
                <w:szCs w:val="18"/>
                <w:lang w:val="en-US"/>
              </w:rPr>
              <w:t xml:space="preserve"> </w:t>
            </w:r>
            <w:proofErr w:type="spellStart"/>
            <w:r w:rsidRPr="005C26D0">
              <w:rPr>
                <w:color w:val="000000"/>
                <w:sz w:val="18"/>
                <w:szCs w:val="18"/>
                <w:lang w:val="en-US"/>
              </w:rPr>
              <w:t>etape</w:t>
            </w:r>
            <w:proofErr w:type="spellEnd"/>
            <w:r w:rsidRPr="005C26D0">
              <w:rPr>
                <w:color w:val="000000"/>
                <w:sz w:val="18"/>
                <w:szCs w:val="18"/>
                <w:lang w:val="en-US"/>
              </w:rPr>
              <w:t xml:space="preserve"> la </w:t>
            </w:r>
            <w:proofErr w:type="spellStart"/>
            <w:r w:rsidRPr="005C26D0">
              <w:rPr>
                <w:color w:val="000000"/>
                <w:sz w:val="18"/>
                <w:szCs w:val="18"/>
                <w:lang w:val="en-US"/>
              </w:rPr>
              <w:t>inițierea</w:t>
            </w:r>
            <w:proofErr w:type="spellEnd"/>
            <w:r w:rsidRPr="005C26D0">
              <w:rPr>
                <w:color w:val="000000"/>
                <w:sz w:val="18"/>
                <w:szCs w:val="18"/>
                <w:lang w:val="en-US"/>
              </w:rPr>
              <w:t xml:space="preserve"> </w:t>
            </w:r>
            <w:proofErr w:type="spellStart"/>
            <w:r w:rsidRPr="005C26D0">
              <w:rPr>
                <w:color w:val="000000"/>
                <w:sz w:val="18"/>
                <w:szCs w:val="18"/>
                <w:lang w:val="en-US"/>
              </w:rPr>
              <w:t>tranzacției</w:t>
            </w:r>
            <w:proofErr w:type="spellEnd"/>
            <w:r w:rsidRPr="005C26D0">
              <w:rPr>
                <w:color w:val="000000"/>
                <w:sz w:val="18"/>
                <w:szCs w:val="18"/>
                <w:lang w:val="en-US"/>
              </w:rPr>
              <w:t>:</w:t>
            </w:r>
          </w:p>
          <w:p w14:paraId="107689A5" w14:textId="31F575D5" w:rsidR="002D6B17" w:rsidRPr="005C26D0" w:rsidRDefault="002D6B17" w:rsidP="002D6B17">
            <w:pPr>
              <w:shd w:val="clear" w:color="auto" w:fill="FFFFFF"/>
              <w:rPr>
                <w:color w:val="000000"/>
                <w:sz w:val="18"/>
                <w:szCs w:val="18"/>
                <w:lang w:val="en-US"/>
              </w:rPr>
            </w:pPr>
            <w:r w:rsidRPr="005C26D0">
              <w:rPr>
                <w:color w:val="000000"/>
                <w:sz w:val="18"/>
                <w:szCs w:val="18"/>
                <w:lang w:val="en-US"/>
              </w:rPr>
              <w:t>(a)</w:t>
            </w:r>
            <w:r>
              <w:rPr>
                <w:color w:val="000000"/>
                <w:sz w:val="18"/>
                <w:szCs w:val="18"/>
                <w:lang w:val="en-US"/>
              </w:rPr>
              <w:t xml:space="preserve"> </w:t>
            </w:r>
            <w:proofErr w:type="spellStart"/>
            <w:r w:rsidRPr="005C26D0">
              <w:rPr>
                <w:color w:val="000000"/>
                <w:sz w:val="18"/>
                <w:szCs w:val="18"/>
                <w:lang w:val="en-US"/>
              </w:rPr>
              <w:t>iau</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considerare</w:t>
            </w:r>
            <w:proofErr w:type="spellEnd"/>
            <w:r w:rsidRPr="005C26D0">
              <w:rPr>
                <w:color w:val="000000"/>
                <w:sz w:val="18"/>
                <w:szCs w:val="18"/>
                <w:lang w:val="en-US"/>
              </w:rPr>
              <w:t xml:space="preserve"> </w:t>
            </w:r>
            <w:proofErr w:type="spellStart"/>
            <w:r w:rsidRPr="005C26D0">
              <w:rPr>
                <w:color w:val="000000"/>
                <w:sz w:val="18"/>
                <w:szCs w:val="18"/>
                <w:lang w:val="en-US"/>
              </w:rPr>
              <w:t>toți</w:t>
            </w:r>
            <w:proofErr w:type="spellEnd"/>
            <w:r w:rsidRPr="005C26D0">
              <w:rPr>
                <w:color w:val="000000"/>
                <w:sz w:val="18"/>
                <w:szCs w:val="18"/>
                <w:lang w:val="en-US"/>
              </w:rPr>
              <w:t xml:space="preserve"> </w:t>
            </w:r>
            <w:proofErr w:type="spellStart"/>
            <w:r w:rsidRPr="005C26D0">
              <w:rPr>
                <w:color w:val="000000"/>
                <w:sz w:val="18"/>
                <w:szCs w:val="18"/>
                <w:lang w:val="en-US"/>
              </w:rPr>
              <w:t>determinanții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ai </w:t>
            </w:r>
            <w:proofErr w:type="spellStart"/>
            <w:r w:rsidRPr="005C26D0">
              <w:rPr>
                <w:color w:val="000000"/>
                <w:sz w:val="18"/>
                <w:szCs w:val="18"/>
                <w:lang w:val="en-US"/>
              </w:rPr>
              <w:t>tranzacției</w:t>
            </w:r>
            <w:proofErr w:type="spellEnd"/>
            <w:r w:rsidRPr="005C26D0">
              <w:rPr>
                <w:color w:val="000000"/>
                <w:sz w:val="18"/>
                <w:szCs w:val="18"/>
                <w:lang w:val="en-US"/>
              </w:rPr>
              <w:t xml:space="preserve"> </w:t>
            </w:r>
            <w:proofErr w:type="spellStart"/>
            <w:r w:rsidRPr="005C26D0">
              <w:rPr>
                <w:color w:val="000000"/>
                <w:sz w:val="18"/>
                <w:szCs w:val="18"/>
                <w:lang w:val="en-US"/>
              </w:rPr>
              <w:t>identificați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procedura</w:t>
            </w:r>
            <w:proofErr w:type="spellEnd"/>
            <w:r w:rsidRPr="005C26D0">
              <w:rPr>
                <w:color w:val="000000"/>
                <w:sz w:val="18"/>
                <w:szCs w:val="18"/>
                <w:lang w:val="en-US"/>
              </w:rPr>
              <w:t xml:space="preserve"> </w:t>
            </w:r>
            <w:proofErr w:type="spellStart"/>
            <w:r w:rsidRPr="005C26D0">
              <w:rPr>
                <w:color w:val="000000"/>
                <w:sz w:val="18"/>
                <w:szCs w:val="18"/>
                <w:lang w:val="en-US"/>
              </w:rPr>
              <w:t>menționată</w:t>
            </w:r>
            <w:proofErr w:type="spellEnd"/>
            <w:r w:rsidRPr="005C26D0">
              <w:rPr>
                <w:color w:val="000000"/>
                <w:sz w:val="18"/>
                <w:szCs w:val="18"/>
                <w:lang w:val="en-US"/>
              </w:rPr>
              <w:t xml:space="preserve"> la </w:t>
            </w:r>
            <w:proofErr w:type="spellStart"/>
            <w:r w:rsidRPr="005C26D0">
              <w:rPr>
                <w:color w:val="000000"/>
                <w:sz w:val="18"/>
                <w:szCs w:val="18"/>
                <w:lang w:val="en-US"/>
              </w:rPr>
              <w:t>articolul</w:t>
            </w:r>
            <w:proofErr w:type="spellEnd"/>
            <w:r w:rsidRPr="005C26D0">
              <w:rPr>
                <w:color w:val="000000"/>
                <w:sz w:val="18"/>
                <w:szCs w:val="18"/>
                <w:lang w:val="en-US"/>
              </w:rPr>
              <w:t xml:space="preserve"> 1 ca </w:t>
            </w:r>
            <w:proofErr w:type="spellStart"/>
            <w:r w:rsidRPr="005C26D0">
              <w:rPr>
                <w:color w:val="000000"/>
                <w:sz w:val="18"/>
                <w:szCs w:val="18"/>
                <w:lang w:val="en-US"/>
              </w:rPr>
              <w:t>fiind</w:t>
            </w:r>
            <w:proofErr w:type="spellEnd"/>
            <w:r w:rsidRPr="005C26D0">
              <w:rPr>
                <w:color w:val="000000"/>
                <w:sz w:val="18"/>
                <w:szCs w:val="18"/>
                <w:lang w:val="en-US"/>
              </w:rPr>
              <w:t xml:space="preserve"> </w:t>
            </w:r>
            <w:proofErr w:type="spellStart"/>
            <w:r w:rsidRPr="005C26D0">
              <w:rPr>
                <w:color w:val="000000"/>
                <w:sz w:val="18"/>
                <w:szCs w:val="18"/>
                <w:lang w:val="en-US"/>
              </w:rPr>
              <w:t>determinanți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proofErr w:type="gramStart"/>
            <w:r w:rsidRPr="005C26D0">
              <w:rPr>
                <w:color w:val="000000"/>
                <w:sz w:val="18"/>
                <w:szCs w:val="18"/>
                <w:lang w:val="en-US"/>
              </w:rPr>
              <w:t>semnificativi</w:t>
            </w:r>
            <w:proofErr w:type="spellEnd"/>
            <w:r w:rsidRPr="005C26D0">
              <w:rPr>
                <w:color w:val="000000"/>
                <w:sz w:val="18"/>
                <w:szCs w:val="18"/>
                <w:lang w:val="en-US"/>
              </w:rPr>
              <w:t>;</w:t>
            </w:r>
            <w:proofErr w:type="gramEnd"/>
          </w:p>
          <w:p w14:paraId="2C900AC1" w14:textId="30B637FC" w:rsidR="002D6B17" w:rsidRPr="005C26D0" w:rsidRDefault="002D6B17" w:rsidP="002D6B17">
            <w:pPr>
              <w:shd w:val="clear" w:color="auto" w:fill="FFFFFF"/>
              <w:rPr>
                <w:color w:val="000000"/>
                <w:sz w:val="18"/>
                <w:szCs w:val="18"/>
                <w:lang w:val="en-US"/>
              </w:rPr>
            </w:pPr>
            <w:r w:rsidRPr="005C26D0">
              <w:rPr>
                <w:color w:val="000000"/>
                <w:sz w:val="18"/>
                <w:szCs w:val="18"/>
                <w:lang w:val="en-US"/>
              </w:rPr>
              <w:t>(b)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fiecare</w:t>
            </w:r>
            <w:proofErr w:type="spellEnd"/>
            <w:r w:rsidRPr="005C26D0">
              <w:rPr>
                <w:color w:val="000000"/>
                <w:sz w:val="18"/>
                <w:szCs w:val="18"/>
                <w:lang w:val="en-US"/>
              </w:rPr>
              <w:t xml:space="preserve"> </w:t>
            </w:r>
            <w:proofErr w:type="spellStart"/>
            <w:r w:rsidRPr="005C26D0">
              <w:rPr>
                <w:color w:val="000000"/>
                <w:sz w:val="18"/>
                <w:szCs w:val="18"/>
                <w:lang w:val="en-US"/>
              </w:rPr>
              <w:t>categorie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w:t>
            </w:r>
            <w:proofErr w:type="spellStart"/>
            <w:r w:rsidRPr="005C26D0">
              <w:rPr>
                <w:color w:val="000000"/>
                <w:sz w:val="18"/>
                <w:szCs w:val="18"/>
                <w:lang w:val="en-US"/>
              </w:rPr>
              <w:t>corespunde</w:t>
            </w:r>
            <w:proofErr w:type="spellEnd"/>
            <w:r w:rsidRPr="005C26D0">
              <w:rPr>
                <w:color w:val="000000"/>
                <w:sz w:val="18"/>
                <w:szCs w:val="18"/>
                <w:lang w:val="en-US"/>
              </w:rPr>
              <w:t xml:space="preserve"> </w:t>
            </w:r>
            <w:proofErr w:type="spellStart"/>
            <w:r w:rsidRPr="005C26D0">
              <w:rPr>
                <w:color w:val="000000"/>
                <w:sz w:val="18"/>
                <w:szCs w:val="18"/>
                <w:lang w:val="en-US"/>
              </w:rPr>
              <w:t>respectivilor</w:t>
            </w:r>
            <w:proofErr w:type="spellEnd"/>
            <w:r w:rsidRPr="005C26D0">
              <w:rPr>
                <w:color w:val="000000"/>
                <w:sz w:val="18"/>
                <w:szCs w:val="18"/>
                <w:lang w:val="en-US"/>
              </w:rPr>
              <w:t xml:space="preserve"> </w:t>
            </w:r>
            <w:proofErr w:type="spellStart"/>
            <w:r w:rsidRPr="005C26D0">
              <w:rPr>
                <w:color w:val="000000"/>
                <w:sz w:val="18"/>
                <w:szCs w:val="18"/>
                <w:lang w:val="en-US"/>
              </w:rPr>
              <w:t>determinanți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semnificativi</w:t>
            </w:r>
            <w:proofErr w:type="spellEnd"/>
            <w:r w:rsidRPr="005C26D0">
              <w:rPr>
                <w:color w:val="000000"/>
                <w:sz w:val="18"/>
                <w:szCs w:val="18"/>
                <w:lang w:val="en-US"/>
              </w:rPr>
              <w:t xml:space="preserve">, </w:t>
            </w:r>
            <w:proofErr w:type="spellStart"/>
            <w:r w:rsidRPr="005C26D0">
              <w:rPr>
                <w:color w:val="000000"/>
                <w:sz w:val="18"/>
                <w:szCs w:val="18"/>
                <w:lang w:val="en-US"/>
              </w:rPr>
              <w:t>identifică</w:t>
            </w:r>
            <w:proofErr w:type="spellEnd"/>
            <w:r w:rsidRPr="005C26D0">
              <w:rPr>
                <w:color w:val="000000"/>
                <w:sz w:val="18"/>
                <w:szCs w:val="18"/>
                <w:lang w:val="en-US"/>
              </w:rPr>
              <w:t xml:space="preserve">, </w:t>
            </w:r>
            <w:proofErr w:type="spellStart"/>
            <w:r w:rsidRPr="005C26D0">
              <w:rPr>
                <w:color w:val="000000"/>
                <w:sz w:val="18"/>
                <w:szCs w:val="18"/>
                <w:lang w:val="en-US"/>
              </w:rPr>
              <w:t>drept</w:t>
            </w:r>
            <w:proofErr w:type="spellEnd"/>
            <w:r w:rsidRPr="005C26D0">
              <w:rPr>
                <w:color w:val="000000"/>
                <w:sz w:val="18"/>
                <w:szCs w:val="18"/>
                <w:lang w:val="en-US"/>
              </w:rPr>
              <w:t xml:space="preserve"> cel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semnificativ</w:t>
            </w:r>
            <w:proofErr w:type="spellEnd"/>
            <w:r w:rsidRPr="005C26D0">
              <w:rPr>
                <w:color w:val="000000"/>
                <w:sz w:val="18"/>
                <w:szCs w:val="18"/>
                <w:lang w:val="en-US"/>
              </w:rPr>
              <w:t xml:space="preserve"> determinant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determinantul</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w:t>
            </w:r>
            <w:proofErr w:type="spellStart"/>
            <w:r w:rsidRPr="005C26D0">
              <w:rPr>
                <w:color w:val="000000"/>
                <w:sz w:val="18"/>
                <w:szCs w:val="18"/>
                <w:lang w:val="en-US"/>
              </w:rPr>
              <w:t>corespunde</w:t>
            </w:r>
            <w:proofErr w:type="spellEnd"/>
            <w:r w:rsidRPr="005C26D0">
              <w:rPr>
                <w:color w:val="000000"/>
                <w:sz w:val="18"/>
                <w:szCs w:val="18"/>
                <w:lang w:val="en-US"/>
              </w:rPr>
              <w:t xml:space="preserve"> </w:t>
            </w:r>
            <w:proofErr w:type="spellStart"/>
            <w:r w:rsidRPr="005C26D0">
              <w:rPr>
                <w:color w:val="000000"/>
                <w:sz w:val="18"/>
                <w:szCs w:val="18"/>
                <w:lang w:val="en-US"/>
              </w:rPr>
              <w:t>celei</w:t>
            </w:r>
            <w:proofErr w:type="spellEnd"/>
            <w:r w:rsidRPr="005C26D0">
              <w:rPr>
                <w:color w:val="000000"/>
                <w:sz w:val="18"/>
                <w:szCs w:val="18"/>
                <w:lang w:val="en-US"/>
              </w:rPr>
              <w:t xml:space="preserve">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mari</w:t>
            </w:r>
            <w:proofErr w:type="spellEnd"/>
            <w:r w:rsidRPr="005C26D0">
              <w:rPr>
                <w:color w:val="000000"/>
                <w:sz w:val="18"/>
                <w:szCs w:val="18"/>
                <w:lang w:val="en-US"/>
              </w:rPr>
              <w:t xml:space="preserve"> </w:t>
            </w:r>
            <w:proofErr w:type="spellStart"/>
            <w:r w:rsidRPr="005C26D0">
              <w:rPr>
                <w:color w:val="000000"/>
                <w:sz w:val="18"/>
                <w:szCs w:val="18"/>
                <w:lang w:val="en-US"/>
              </w:rPr>
              <w:t>majorări</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categoria</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dintre</w:t>
            </w:r>
            <w:proofErr w:type="spellEnd"/>
            <w:r w:rsidRPr="005C26D0">
              <w:rPr>
                <w:color w:val="000000"/>
                <w:sz w:val="18"/>
                <w:szCs w:val="18"/>
                <w:lang w:val="en-US"/>
              </w:rPr>
              <w:t xml:space="preserve"> </w:t>
            </w:r>
            <w:proofErr w:type="spellStart"/>
            <w:r w:rsidRPr="005C26D0">
              <w:rPr>
                <w:color w:val="000000"/>
                <w:sz w:val="18"/>
                <w:szCs w:val="18"/>
                <w:lang w:val="en-US"/>
              </w:rPr>
              <w:t>cele</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articolele</w:t>
            </w:r>
            <w:proofErr w:type="spellEnd"/>
            <w:r w:rsidRPr="005C26D0">
              <w:rPr>
                <w:color w:val="000000"/>
                <w:sz w:val="18"/>
                <w:szCs w:val="18"/>
                <w:lang w:val="en-US"/>
              </w:rPr>
              <w:t xml:space="preserve"> 280a-280f din </w:t>
            </w:r>
            <w:proofErr w:type="spellStart"/>
            <w:r w:rsidRPr="005C26D0">
              <w:rPr>
                <w:color w:val="000000"/>
                <w:sz w:val="18"/>
                <w:szCs w:val="18"/>
                <w:lang w:val="en-US"/>
              </w:rPr>
              <w:t>Regulamentul</w:t>
            </w:r>
            <w:proofErr w:type="spellEnd"/>
            <w:r w:rsidRPr="005C26D0">
              <w:rPr>
                <w:color w:val="000000"/>
                <w:sz w:val="18"/>
                <w:szCs w:val="18"/>
                <w:lang w:val="en-US"/>
              </w:rPr>
              <w:t xml:space="preserve"> (UE) nr. 575/2013.</w:t>
            </w:r>
          </w:p>
          <w:p w14:paraId="722AC5F4" w14:textId="07D66EA1" w:rsidR="002D6B17" w:rsidRPr="005C26D0" w:rsidRDefault="002D6B17" w:rsidP="002D6B17">
            <w:pPr>
              <w:shd w:val="clear" w:color="auto" w:fill="FFFFFF"/>
              <w:rPr>
                <w:color w:val="000000"/>
                <w:sz w:val="18"/>
                <w:szCs w:val="18"/>
                <w:lang w:val="en-US"/>
              </w:rPr>
            </w:pPr>
            <w:r w:rsidRPr="005C26D0">
              <w:rPr>
                <w:rStyle w:val="no-parag"/>
                <w:color w:val="000000"/>
                <w:sz w:val="18"/>
                <w:szCs w:val="18"/>
                <w:lang w:val="en-US"/>
              </w:rPr>
              <w:t>(3)</w:t>
            </w:r>
            <w:r>
              <w:rPr>
                <w:rStyle w:val="no-parag"/>
                <w:color w:val="000000"/>
                <w:sz w:val="18"/>
                <w:szCs w:val="18"/>
                <w:lang w:val="en-US"/>
              </w:rPr>
              <w:t xml:space="preserve"> </w:t>
            </w:r>
            <w:proofErr w:type="spellStart"/>
            <w:r w:rsidRPr="005C26D0">
              <w:rPr>
                <w:color w:val="000000"/>
                <w:sz w:val="18"/>
                <w:szCs w:val="18"/>
                <w:lang w:val="en-US"/>
              </w:rPr>
              <w:t>Instituțiile</w:t>
            </w:r>
            <w:proofErr w:type="spellEnd"/>
            <w:r w:rsidRPr="005C26D0">
              <w:rPr>
                <w:color w:val="000000"/>
                <w:sz w:val="18"/>
                <w:szCs w:val="18"/>
                <w:lang w:val="en-US"/>
              </w:rPr>
              <w:t xml:space="preserve"> </w:t>
            </w:r>
            <w:proofErr w:type="spellStart"/>
            <w:r w:rsidRPr="005C26D0">
              <w:rPr>
                <w:color w:val="000000"/>
                <w:sz w:val="18"/>
                <w:szCs w:val="18"/>
                <w:lang w:val="en-US"/>
              </w:rPr>
              <w:t>aplică</w:t>
            </w:r>
            <w:proofErr w:type="spellEnd"/>
            <w:r w:rsidRPr="005C26D0">
              <w:rPr>
                <w:color w:val="000000"/>
                <w:sz w:val="18"/>
                <w:szCs w:val="18"/>
                <w:lang w:val="en-US"/>
              </w:rPr>
              <w:t xml:space="preserve"> </w:t>
            </w:r>
            <w:proofErr w:type="spellStart"/>
            <w:r w:rsidRPr="005C26D0">
              <w:rPr>
                <w:color w:val="000000"/>
                <w:sz w:val="18"/>
                <w:szCs w:val="18"/>
                <w:lang w:val="en-US"/>
              </w:rPr>
              <w:t>următoarele</w:t>
            </w:r>
            <w:proofErr w:type="spellEnd"/>
            <w:r w:rsidRPr="005C26D0">
              <w:rPr>
                <w:color w:val="000000"/>
                <w:sz w:val="18"/>
                <w:szCs w:val="18"/>
                <w:lang w:val="en-US"/>
              </w:rPr>
              <w:t xml:space="preserve"> </w:t>
            </w:r>
            <w:proofErr w:type="spellStart"/>
            <w:r w:rsidRPr="005C26D0">
              <w:rPr>
                <w:color w:val="000000"/>
                <w:sz w:val="18"/>
                <w:szCs w:val="18"/>
                <w:lang w:val="en-US"/>
              </w:rPr>
              <w:t>etape</w:t>
            </w:r>
            <w:proofErr w:type="spellEnd"/>
            <w:r w:rsidRPr="005C26D0">
              <w:rPr>
                <w:color w:val="000000"/>
                <w:sz w:val="18"/>
                <w:szCs w:val="18"/>
                <w:lang w:val="en-US"/>
              </w:rPr>
              <w:t xml:space="preserve"> la </w:t>
            </w:r>
            <w:proofErr w:type="spellStart"/>
            <w:r w:rsidRPr="005C26D0">
              <w:rPr>
                <w:color w:val="000000"/>
                <w:sz w:val="18"/>
                <w:szCs w:val="18"/>
                <w:lang w:val="en-US"/>
              </w:rPr>
              <w:t>inițierea</w:t>
            </w:r>
            <w:proofErr w:type="spellEnd"/>
            <w:r w:rsidRPr="005C26D0">
              <w:rPr>
                <w:color w:val="000000"/>
                <w:sz w:val="18"/>
                <w:szCs w:val="18"/>
                <w:lang w:val="en-US"/>
              </w:rPr>
              <w:t xml:space="preserve"> </w:t>
            </w:r>
            <w:proofErr w:type="spellStart"/>
            <w:r w:rsidRPr="005C26D0">
              <w:rPr>
                <w:color w:val="000000"/>
                <w:sz w:val="18"/>
                <w:szCs w:val="18"/>
                <w:lang w:val="en-US"/>
              </w:rPr>
              <w:t>tranzacției</w:t>
            </w:r>
            <w:proofErr w:type="spellEnd"/>
            <w:r w:rsidRPr="005C26D0">
              <w:rPr>
                <w:color w:val="000000"/>
                <w:sz w:val="18"/>
                <w:szCs w:val="18"/>
                <w:lang w:val="en-US"/>
              </w:rPr>
              <w:t xml:space="preserve"> </w:t>
            </w:r>
            <w:proofErr w:type="spellStart"/>
            <w:r w:rsidRPr="005C26D0">
              <w:rPr>
                <w:color w:val="000000"/>
                <w:sz w:val="18"/>
                <w:szCs w:val="18"/>
                <w:lang w:val="en-US"/>
              </w:rPr>
              <w:t>și</w:t>
            </w:r>
            <w:proofErr w:type="spellEnd"/>
            <w:r w:rsidRPr="005C26D0">
              <w:rPr>
                <w:color w:val="000000"/>
                <w:sz w:val="18"/>
                <w:szCs w:val="18"/>
                <w:lang w:val="en-US"/>
              </w:rPr>
              <w:t xml:space="preserve">, ulterior, cel </w:t>
            </w:r>
            <w:proofErr w:type="spellStart"/>
            <w:r w:rsidRPr="005C26D0">
              <w:rPr>
                <w:color w:val="000000"/>
                <w:sz w:val="18"/>
                <w:szCs w:val="18"/>
                <w:lang w:val="en-US"/>
              </w:rPr>
              <w:t>puțin</w:t>
            </w:r>
            <w:proofErr w:type="spellEnd"/>
            <w:r w:rsidRPr="005C26D0">
              <w:rPr>
                <w:color w:val="000000"/>
                <w:sz w:val="18"/>
                <w:szCs w:val="18"/>
                <w:lang w:val="en-US"/>
              </w:rPr>
              <w:t xml:space="preserve"> </w:t>
            </w:r>
            <w:proofErr w:type="spellStart"/>
            <w:r w:rsidRPr="005C26D0">
              <w:rPr>
                <w:color w:val="000000"/>
                <w:sz w:val="18"/>
                <w:szCs w:val="18"/>
                <w:lang w:val="en-US"/>
              </w:rPr>
              <w:t>trimestrial</w:t>
            </w:r>
            <w:proofErr w:type="spellEnd"/>
            <w:r w:rsidRPr="005C26D0">
              <w:rPr>
                <w:color w:val="000000"/>
                <w:sz w:val="18"/>
                <w:szCs w:val="18"/>
                <w:lang w:val="en-US"/>
              </w:rPr>
              <w:t>:</w:t>
            </w:r>
          </w:p>
          <w:p w14:paraId="09CDAAA2" w14:textId="485EC65E" w:rsidR="002D6B17" w:rsidRPr="005C26D0" w:rsidRDefault="002D6B17" w:rsidP="002D6B17">
            <w:pPr>
              <w:shd w:val="clear" w:color="auto" w:fill="FFFFFF"/>
              <w:rPr>
                <w:color w:val="000000"/>
                <w:sz w:val="18"/>
                <w:szCs w:val="18"/>
                <w:lang w:val="en-US"/>
              </w:rPr>
            </w:pPr>
            <w:r w:rsidRPr="005C26D0">
              <w:rPr>
                <w:color w:val="000000"/>
                <w:sz w:val="18"/>
                <w:szCs w:val="18"/>
                <w:lang w:val="en-US"/>
              </w:rPr>
              <w:t>(a) </w:t>
            </w:r>
            <w:proofErr w:type="spellStart"/>
            <w:r w:rsidRPr="005C26D0">
              <w:rPr>
                <w:color w:val="000000"/>
                <w:sz w:val="18"/>
                <w:szCs w:val="18"/>
                <w:lang w:val="en-US"/>
              </w:rPr>
              <w:t>calculează</w:t>
            </w:r>
            <w:proofErr w:type="spellEnd"/>
            <w:r w:rsidRPr="005C26D0">
              <w:rPr>
                <w:color w:val="000000"/>
                <w:sz w:val="18"/>
                <w:szCs w:val="18"/>
                <w:lang w:val="en-US"/>
              </w:rPr>
              <w:t xml:space="preserve"> </w:t>
            </w:r>
            <w:proofErr w:type="spellStart"/>
            <w:r w:rsidRPr="005C26D0">
              <w:rPr>
                <w:color w:val="000000"/>
                <w:sz w:val="18"/>
                <w:szCs w:val="18"/>
                <w:lang w:val="en-US"/>
              </w:rPr>
              <w:t>sensibilitățile</w:t>
            </w:r>
            <w:proofErr w:type="spellEnd"/>
            <w:r w:rsidRPr="005C26D0">
              <w:rPr>
                <w:color w:val="000000"/>
                <w:sz w:val="18"/>
                <w:szCs w:val="18"/>
                <w:lang w:val="en-US"/>
              </w:rPr>
              <w:t xml:space="preserve"> la </w:t>
            </w:r>
            <w:proofErr w:type="spellStart"/>
            <w:r w:rsidRPr="005C26D0">
              <w:rPr>
                <w:color w:val="000000"/>
                <w:sz w:val="18"/>
                <w:szCs w:val="18"/>
                <w:lang w:val="en-US"/>
              </w:rPr>
              <w:t>riscul</w:t>
            </w:r>
            <w:proofErr w:type="spellEnd"/>
            <w:r w:rsidRPr="005C26D0">
              <w:rPr>
                <w:color w:val="000000"/>
                <w:sz w:val="18"/>
                <w:szCs w:val="18"/>
                <w:lang w:val="en-US"/>
              </w:rPr>
              <w:t xml:space="preserve"> delta,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articolul</w:t>
            </w:r>
            <w:proofErr w:type="spellEnd"/>
            <w:r w:rsidRPr="005C26D0">
              <w:rPr>
                <w:color w:val="000000"/>
                <w:sz w:val="18"/>
                <w:szCs w:val="18"/>
                <w:lang w:val="en-US"/>
              </w:rPr>
              <w:t xml:space="preserve"> 325r din </w:t>
            </w:r>
            <w:proofErr w:type="spellStart"/>
            <w:r w:rsidRPr="005C26D0">
              <w:rPr>
                <w:color w:val="000000"/>
                <w:sz w:val="18"/>
                <w:szCs w:val="18"/>
                <w:lang w:val="en-US"/>
              </w:rPr>
              <w:t>Regulamentul</w:t>
            </w:r>
            <w:proofErr w:type="spellEnd"/>
            <w:r w:rsidRPr="005C26D0">
              <w:rPr>
                <w:color w:val="000000"/>
                <w:sz w:val="18"/>
                <w:szCs w:val="18"/>
                <w:lang w:val="en-US"/>
              </w:rPr>
              <w:t xml:space="preserve"> (UE) nr. 575/2013,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fiecare</w:t>
            </w:r>
            <w:proofErr w:type="spellEnd"/>
            <w:r w:rsidRPr="005C26D0">
              <w:rPr>
                <w:color w:val="000000"/>
                <w:sz w:val="18"/>
                <w:szCs w:val="18"/>
                <w:lang w:val="en-US"/>
              </w:rPr>
              <w:t xml:space="preserve"> determinant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identificat</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articolul</w:t>
            </w:r>
            <w:proofErr w:type="spellEnd"/>
            <w:r w:rsidRPr="005C26D0">
              <w:rPr>
                <w:color w:val="000000"/>
                <w:sz w:val="18"/>
                <w:szCs w:val="18"/>
                <w:lang w:val="en-US"/>
              </w:rPr>
              <w:t xml:space="preserve"> 1 din </w:t>
            </w:r>
            <w:proofErr w:type="spellStart"/>
            <w:r w:rsidRPr="005C26D0">
              <w:rPr>
                <w:color w:val="000000"/>
                <w:sz w:val="18"/>
                <w:szCs w:val="18"/>
                <w:lang w:val="en-US"/>
              </w:rPr>
              <w:t>prezentul</w:t>
            </w:r>
            <w:proofErr w:type="spellEnd"/>
            <w:r w:rsidRPr="005C26D0">
              <w:rPr>
                <w:color w:val="000000"/>
                <w:sz w:val="18"/>
                <w:szCs w:val="18"/>
                <w:lang w:val="en-US"/>
              </w:rPr>
              <w:t xml:space="preserve"> </w:t>
            </w:r>
            <w:proofErr w:type="spellStart"/>
            <w:proofErr w:type="gramStart"/>
            <w:r w:rsidRPr="005C26D0">
              <w:rPr>
                <w:color w:val="000000"/>
                <w:sz w:val="18"/>
                <w:szCs w:val="18"/>
                <w:lang w:val="en-US"/>
              </w:rPr>
              <w:t>regulament</w:t>
            </w:r>
            <w:proofErr w:type="spellEnd"/>
            <w:r w:rsidRPr="005C26D0">
              <w:rPr>
                <w:color w:val="000000"/>
                <w:sz w:val="18"/>
                <w:szCs w:val="18"/>
                <w:lang w:val="en-US"/>
              </w:rPr>
              <w:t>;</w:t>
            </w:r>
            <w:proofErr w:type="gramEnd"/>
          </w:p>
          <w:p w14:paraId="53C332A2" w14:textId="76ECE09B" w:rsidR="002D6B17" w:rsidRPr="005C26D0" w:rsidRDefault="002D6B17" w:rsidP="002D6B17">
            <w:pPr>
              <w:shd w:val="clear" w:color="auto" w:fill="FFFFFF"/>
              <w:rPr>
                <w:color w:val="000000"/>
                <w:sz w:val="18"/>
                <w:szCs w:val="18"/>
                <w:lang w:val="en-US"/>
              </w:rPr>
            </w:pPr>
            <w:r w:rsidRPr="005C26D0">
              <w:rPr>
                <w:color w:val="000000"/>
                <w:sz w:val="18"/>
                <w:szCs w:val="18"/>
                <w:lang w:val="en-US"/>
              </w:rPr>
              <w:t>(b) </w:t>
            </w:r>
            <w:proofErr w:type="spellStart"/>
            <w:r w:rsidRPr="005C26D0">
              <w:rPr>
                <w:color w:val="000000"/>
                <w:sz w:val="18"/>
                <w:szCs w:val="18"/>
                <w:lang w:val="en-US"/>
              </w:rPr>
              <w:t>calculează</w:t>
            </w:r>
            <w:proofErr w:type="spellEnd"/>
            <w:r w:rsidRPr="005C26D0">
              <w:rPr>
                <w:color w:val="000000"/>
                <w:sz w:val="18"/>
                <w:szCs w:val="18"/>
                <w:lang w:val="en-US"/>
              </w:rPr>
              <w:t xml:space="preserve"> </w:t>
            </w:r>
            <w:proofErr w:type="spellStart"/>
            <w:r w:rsidRPr="005C26D0">
              <w:rPr>
                <w:color w:val="000000"/>
                <w:sz w:val="18"/>
                <w:szCs w:val="18"/>
                <w:lang w:val="en-US"/>
              </w:rPr>
              <w:t>sensibilitățile</w:t>
            </w:r>
            <w:proofErr w:type="spellEnd"/>
            <w:r w:rsidRPr="005C26D0">
              <w:rPr>
                <w:color w:val="000000"/>
                <w:sz w:val="18"/>
                <w:szCs w:val="18"/>
                <w:lang w:val="en-US"/>
              </w:rPr>
              <w:t xml:space="preserve"> </w:t>
            </w:r>
            <w:proofErr w:type="spellStart"/>
            <w:r w:rsidRPr="005C26D0">
              <w:rPr>
                <w:color w:val="000000"/>
                <w:sz w:val="18"/>
                <w:szCs w:val="18"/>
                <w:lang w:val="en-US"/>
              </w:rPr>
              <w:t>ponderate</w:t>
            </w:r>
            <w:proofErr w:type="spellEnd"/>
            <w:r w:rsidRPr="005C26D0">
              <w:rPr>
                <w:color w:val="000000"/>
                <w:sz w:val="18"/>
                <w:szCs w:val="18"/>
                <w:lang w:val="en-US"/>
              </w:rPr>
              <w:t xml:space="preserve"> </w:t>
            </w:r>
            <w:proofErr w:type="spellStart"/>
            <w:r w:rsidRPr="005C26D0">
              <w:rPr>
                <w:color w:val="000000"/>
                <w:sz w:val="18"/>
                <w:szCs w:val="18"/>
                <w:lang w:val="en-US"/>
              </w:rPr>
              <w:t>prin</w:t>
            </w:r>
            <w:proofErr w:type="spellEnd"/>
            <w:r w:rsidRPr="005C26D0">
              <w:rPr>
                <w:color w:val="000000"/>
                <w:sz w:val="18"/>
                <w:szCs w:val="18"/>
                <w:lang w:val="en-US"/>
              </w:rPr>
              <w:t xml:space="preserve"> formula </w:t>
            </w:r>
            <w:proofErr w:type="spellStart"/>
            <w:r w:rsidRPr="005C26D0">
              <w:rPr>
                <w:color w:val="000000"/>
                <w:sz w:val="18"/>
                <w:szCs w:val="18"/>
                <w:lang w:val="en-US"/>
              </w:rPr>
              <w:t>prevăzută</w:t>
            </w:r>
            <w:proofErr w:type="spellEnd"/>
            <w:r w:rsidRPr="005C26D0">
              <w:rPr>
                <w:color w:val="000000"/>
                <w:sz w:val="18"/>
                <w:szCs w:val="18"/>
                <w:lang w:val="en-US"/>
              </w:rPr>
              <w:t xml:space="preserve"> la </w:t>
            </w:r>
            <w:proofErr w:type="spellStart"/>
            <w:r w:rsidRPr="005C26D0">
              <w:rPr>
                <w:color w:val="000000"/>
                <w:sz w:val="18"/>
                <w:szCs w:val="18"/>
                <w:lang w:val="en-US"/>
              </w:rPr>
              <w:t>articolul</w:t>
            </w:r>
            <w:proofErr w:type="spellEnd"/>
            <w:r w:rsidRPr="005C26D0">
              <w:rPr>
                <w:color w:val="000000"/>
                <w:sz w:val="18"/>
                <w:szCs w:val="18"/>
                <w:lang w:val="en-US"/>
              </w:rPr>
              <w:t xml:space="preserve"> 325f </w:t>
            </w:r>
            <w:proofErr w:type="spellStart"/>
            <w:r w:rsidRPr="005C26D0">
              <w:rPr>
                <w:color w:val="000000"/>
                <w:sz w:val="18"/>
                <w:szCs w:val="18"/>
                <w:lang w:val="en-US"/>
              </w:rPr>
              <w:t>alineatul</w:t>
            </w:r>
            <w:proofErr w:type="spellEnd"/>
            <w:r w:rsidRPr="005C26D0">
              <w:rPr>
                <w:color w:val="000000"/>
                <w:sz w:val="18"/>
                <w:szCs w:val="18"/>
                <w:lang w:val="en-US"/>
              </w:rPr>
              <w:t xml:space="preserve"> (6) din </w:t>
            </w:r>
            <w:proofErr w:type="spellStart"/>
            <w:r w:rsidRPr="005C26D0">
              <w:rPr>
                <w:color w:val="000000"/>
                <w:sz w:val="18"/>
                <w:szCs w:val="18"/>
                <w:lang w:val="en-US"/>
              </w:rPr>
              <w:t>regulamentul</w:t>
            </w:r>
            <w:proofErr w:type="spellEnd"/>
            <w:r w:rsidRPr="005C26D0">
              <w:rPr>
                <w:color w:val="000000"/>
                <w:sz w:val="18"/>
                <w:szCs w:val="18"/>
                <w:lang w:val="en-US"/>
              </w:rPr>
              <w:t xml:space="preserve"> </w:t>
            </w:r>
            <w:proofErr w:type="spellStart"/>
            <w:r w:rsidRPr="005C26D0">
              <w:rPr>
                <w:color w:val="000000"/>
                <w:sz w:val="18"/>
                <w:szCs w:val="18"/>
                <w:lang w:val="en-US"/>
              </w:rPr>
              <w:t>menționat</w:t>
            </w:r>
            <w:proofErr w:type="spellEnd"/>
            <w:r w:rsidRPr="005C26D0">
              <w:rPr>
                <w:color w:val="000000"/>
                <w:sz w:val="18"/>
                <w:szCs w:val="18"/>
                <w:lang w:val="en-US"/>
              </w:rPr>
              <w:t xml:space="preserve">, pe </w:t>
            </w:r>
            <w:proofErr w:type="spellStart"/>
            <w:r w:rsidRPr="005C26D0">
              <w:rPr>
                <w:color w:val="000000"/>
                <w:sz w:val="18"/>
                <w:szCs w:val="18"/>
                <w:lang w:val="en-US"/>
              </w:rPr>
              <w:t>baza</w:t>
            </w:r>
            <w:proofErr w:type="spellEnd"/>
            <w:r w:rsidRPr="005C26D0">
              <w:rPr>
                <w:color w:val="000000"/>
                <w:sz w:val="18"/>
                <w:szCs w:val="18"/>
                <w:lang w:val="en-US"/>
              </w:rPr>
              <w:t xml:space="preserve"> </w:t>
            </w:r>
            <w:proofErr w:type="spellStart"/>
            <w:r w:rsidRPr="005C26D0">
              <w:rPr>
                <w:color w:val="000000"/>
                <w:sz w:val="18"/>
                <w:szCs w:val="18"/>
                <w:lang w:val="en-US"/>
              </w:rPr>
              <w:t>sensibilităților</w:t>
            </w:r>
            <w:proofErr w:type="spellEnd"/>
            <w:r w:rsidRPr="005C26D0">
              <w:rPr>
                <w:color w:val="000000"/>
                <w:sz w:val="18"/>
                <w:szCs w:val="18"/>
                <w:lang w:val="en-US"/>
              </w:rPr>
              <w:t xml:space="preserve"> calculate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litera</w:t>
            </w:r>
            <w:proofErr w:type="spellEnd"/>
            <w:r w:rsidRPr="005C26D0">
              <w:rPr>
                <w:color w:val="000000"/>
                <w:sz w:val="18"/>
                <w:szCs w:val="18"/>
                <w:lang w:val="en-US"/>
              </w:rPr>
              <w:t xml:space="preserve"> (a</w:t>
            </w:r>
            <w:proofErr w:type="gramStart"/>
            <w:r w:rsidRPr="005C26D0">
              <w:rPr>
                <w:color w:val="000000"/>
                <w:sz w:val="18"/>
                <w:szCs w:val="18"/>
                <w:lang w:val="en-US"/>
              </w:rPr>
              <w:t>);</w:t>
            </w:r>
            <w:proofErr w:type="gramEnd"/>
          </w:p>
          <w:p w14:paraId="2C954BAD" w14:textId="7871A00D" w:rsidR="002D6B17" w:rsidRPr="005C26D0" w:rsidRDefault="002D6B17" w:rsidP="002D6B17">
            <w:pPr>
              <w:shd w:val="clear" w:color="auto" w:fill="FFFFFF"/>
              <w:rPr>
                <w:color w:val="000000"/>
                <w:sz w:val="18"/>
                <w:szCs w:val="18"/>
                <w:lang w:val="en-US"/>
              </w:rPr>
            </w:pPr>
            <w:r w:rsidRPr="005C26D0">
              <w:rPr>
                <w:color w:val="000000"/>
                <w:sz w:val="18"/>
                <w:szCs w:val="18"/>
                <w:lang w:val="en-US"/>
              </w:rPr>
              <w:t>(c)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fiecare</w:t>
            </w:r>
            <w:proofErr w:type="spellEnd"/>
            <w:r w:rsidRPr="005C26D0">
              <w:rPr>
                <w:color w:val="000000"/>
                <w:sz w:val="18"/>
                <w:szCs w:val="18"/>
                <w:lang w:val="en-US"/>
              </w:rPr>
              <w:t xml:space="preserve"> </w:t>
            </w:r>
            <w:proofErr w:type="spellStart"/>
            <w:r w:rsidRPr="005C26D0">
              <w:rPr>
                <w:color w:val="000000"/>
                <w:sz w:val="18"/>
                <w:szCs w:val="18"/>
                <w:lang w:val="en-US"/>
              </w:rPr>
              <w:t>dintre</w:t>
            </w:r>
            <w:proofErr w:type="spellEnd"/>
            <w:r w:rsidRPr="005C26D0">
              <w:rPr>
                <w:color w:val="000000"/>
                <w:sz w:val="18"/>
                <w:szCs w:val="18"/>
                <w:lang w:val="en-US"/>
              </w:rPr>
              <w:t xml:space="preserve"> </w:t>
            </w:r>
            <w:proofErr w:type="spellStart"/>
            <w:r w:rsidRPr="005C26D0">
              <w:rPr>
                <w:color w:val="000000"/>
                <w:sz w:val="18"/>
                <w:szCs w:val="18"/>
                <w:lang w:val="en-US"/>
              </w:rPr>
              <w:t>categoriile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articolul</w:t>
            </w:r>
            <w:proofErr w:type="spellEnd"/>
            <w:r w:rsidRPr="005C26D0">
              <w:rPr>
                <w:color w:val="000000"/>
                <w:sz w:val="18"/>
                <w:szCs w:val="18"/>
                <w:lang w:val="en-US"/>
              </w:rPr>
              <w:t xml:space="preserve"> 277 </w:t>
            </w:r>
            <w:proofErr w:type="spellStart"/>
            <w:r w:rsidRPr="005C26D0">
              <w:rPr>
                <w:color w:val="000000"/>
                <w:sz w:val="18"/>
                <w:szCs w:val="18"/>
                <w:lang w:val="en-US"/>
              </w:rPr>
              <w:t>alineatul</w:t>
            </w:r>
            <w:proofErr w:type="spellEnd"/>
            <w:r w:rsidRPr="005C26D0">
              <w:rPr>
                <w:color w:val="000000"/>
                <w:sz w:val="18"/>
                <w:szCs w:val="18"/>
                <w:lang w:val="en-US"/>
              </w:rPr>
              <w:t xml:space="preserve"> (1) din </w:t>
            </w:r>
            <w:proofErr w:type="spellStart"/>
            <w:r w:rsidRPr="005C26D0">
              <w:rPr>
                <w:color w:val="000000"/>
                <w:sz w:val="18"/>
                <w:szCs w:val="18"/>
                <w:lang w:val="en-US"/>
              </w:rPr>
              <w:t>regulamentul</w:t>
            </w:r>
            <w:proofErr w:type="spellEnd"/>
            <w:r w:rsidRPr="005C26D0">
              <w:rPr>
                <w:color w:val="000000"/>
                <w:sz w:val="18"/>
                <w:szCs w:val="18"/>
                <w:lang w:val="en-US"/>
              </w:rPr>
              <w:t xml:space="preserve"> </w:t>
            </w:r>
            <w:proofErr w:type="spellStart"/>
            <w:r w:rsidRPr="005C26D0">
              <w:rPr>
                <w:color w:val="000000"/>
                <w:sz w:val="18"/>
                <w:szCs w:val="18"/>
                <w:lang w:val="en-US"/>
              </w:rPr>
              <w:t>respectiv</w:t>
            </w:r>
            <w:proofErr w:type="spellEnd"/>
            <w:r w:rsidRPr="005C26D0">
              <w:rPr>
                <w:color w:val="000000"/>
                <w:sz w:val="18"/>
                <w:szCs w:val="18"/>
                <w:lang w:val="en-US"/>
              </w:rPr>
              <w:t xml:space="preserve">, </w:t>
            </w:r>
            <w:proofErr w:type="spellStart"/>
            <w:r w:rsidRPr="005C26D0">
              <w:rPr>
                <w:color w:val="000000"/>
                <w:sz w:val="18"/>
                <w:szCs w:val="18"/>
                <w:lang w:val="en-US"/>
              </w:rPr>
              <w:t>calculează</w:t>
            </w:r>
            <w:proofErr w:type="spellEnd"/>
            <w:r w:rsidRPr="005C26D0">
              <w:rPr>
                <w:color w:val="000000"/>
                <w:sz w:val="18"/>
                <w:szCs w:val="18"/>
                <w:lang w:val="en-US"/>
              </w:rPr>
              <w:t xml:space="preserve"> </w:t>
            </w:r>
            <w:proofErr w:type="spellStart"/>
            <w:r w:rsidRPr="005C26D0">
              <w:rPr>
                <w:color w:val="000000"/>
                <w:sz w:val="18"/>
                <w:szCs w:val="18"/>
                <w:lang w:val="en-US"/>
              </w:rPr>
              <w:t>cerința</w:t>
            </w:r>
            <w:proofErr w:type="spellEnd"/>
            <w:r w:rsidRPr="005C26D0">
              <w:rPr>
                <w:color w:val="000000"/>
                <w:sz w:val="18"/>
                <w:szCs w:val="18"/>
                <w:lang w:val="en-US"/>
              </w:rPr>
              <w:t xml:space="preserve"> de </w:t>
            </w:r>
            <w:proofErr w:type="spellStart"/>
            <w:r w:rsidRPr="005C26D0">
              <w:rPr>
                <w:color w:val="000000"/>
                <w:sz w:val="18"/>
                <w:szCs w:val="18"/>
                <w:lang w:val="en-US"/>
              </w:rPr>
              <w:t>fonduri</w:t>
            </w:r>
            <w:proofErr w:type="spellEnd"/>
            <w:r w:rsidRPr="005C26D0">
              <w:rPr>
                <w:color w:val="000000"/>
                <w:sz w:val="18"/>
                <w:szCs w:val="18"/>
                <w:lang w:val="en-US"/>
              </w:rPr>
              <w:t xml:space="preserve"> </w:t>
            </w:r>
            <w:proofErr w:type="spellStart"/>
            <w:r w:rsidRPr="005C26D0">
              <w:rPr>
                <w:color w:val="000000"/>
                <w:sz w:val="18"/>
                <w:szCs w:val="18"/>
                <w:lang w:val="en-US"/>
              </w:rPr>
              <w:t>proprii</w:t>
            </w:r>
            <w:proofErr w:type="spellEnd"/>
            <w:r w:rsidRPr="005C26D0">
              <w:rPr>
                <w:color w:val="000000"/>
                <w:sz w:val="18"/>
                <w:szCs w:val="18"/>
                <w:lang w:val="en-US"/>
              </w:rPr>
              <w:t xml:space="preserve"> </w:t>
            </w:r>
            <w:proofErr w:type="spellStart"/>
            <w:r w:rsidRPr="005C26D0">
              <w:rPr>
                <w:color w:val="000000"/>
                <w:sz w:val="18"/>
                <w:szCs w:val="18"/>
                <w:lang w:val="en-US"/>
              </w:rPr>
              <w:t>specifică</w:t>
            </w:r>
            <w:proofErr w:type="spellEnd"/>
            <w:r w:rsidRPr="005C26D0">
              <w:rPr>
                <w:color w:val="000000"/>
                <w:sz w:val="18"/>
                <w:szCs w:val="18"/>
                <w:lang w:val="en-US"/>
              </w:rPr>
              <w:t xml:space="preserve"> </w:t>
            </w:r>
            <w:proofErr w:type="spellStart"/>
            <w:r w:rsidRPr="005C26D0">
              <w:rPr>
                <w:color w:val="000000"/>
                <w:sz w:val="18"/>
                <w:szCs w:val="18"/>
                <w:lang w:val="en-US"/>
              </w:rPr>
              <w:t>unei</w:t>
            </w:r>
            <w:proofErr w:type="spellEnd"/>
            <w:r w:rsidRPr="005C26D0">
              <w:rPr>
                <w:color w:val="000000"/>
                <w:sz w:val="18"/>
                <w:szCs w:val="18"/>
                <w:lang w:val="en-US"/>
              </w:rPr>
              <w:t xml:space="preserve"> </w:t>
            </w:r>
            <w:proofErr w:type="spellStart"/>
            <w:r w:rsidRPr="005C26D0">
              <w:rPr>
                <w:color w:val="000000"/>
                <w:sz w:val="18"/>
                <w:szCs w:val="18"/>
                <w:lang w:val="en-US"/>
              </w:rPr>
              <w:t>clase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riscul</w:t>
            </w:r>
            <w:proofErr w:type="spellEnd"/>
            <w:r w:rsidRPr="005C26D0">
              <w:rPr>
                <w:color w:val="000000"/>
                <w:sz w:val="18"/>
                <w:szCs w:val="18"/>
                <w:lang w:val="en-US"/>
              </w:rPr>
              <w:t xml:space="preserve"> de </w:t>
            </w:r>
            <w:proofErr w:type="spellStart"/>
            <w:r w:rsidRPr="005C26D0">
              <w:rPr>
                <w:color w:val="000000"/>
                <w:sz w:val="18"/>
                <w:szCs w:val="18"/>
                <w:lang w:val="en-US"/>
              </w:rPr>
              <w:t>piață</w:t>
            </w:r>
            <w:proofErr w:type="spellEnd"/>
            <w:r w:rsidRPr="005C26D0">
              <w:rPr>
                <w:color w:val="000000"/>
                <w:sz w:val="18"/>
                <w:szCs w:val="18"/>
                <w:lang w:val="en-US"/>
              </w:rPr>
              <w:t xml:space="preserve">, </w:t>
            </w:r>
            <w:proofErr w:type="spellStart"/>
            <w:r w:rsidRPr="005C26D0">
              <w:rPr>
                <w:color w:val="000000"/>
                <w:sz w:val="18"/>
                <w:szCs w:val="18"/>
                <w:lang w:val="en-US"/>
              </w:rPr>
              <w:t>prin</w:t>
            </w:r>
            <w:proofErr w:type="spellEnd"/>
            <w:r w:rsidRPr="005C26D0">
              <w:rPr>
                <w:color w:val="000000"/>
                <w:sz w:val="18"/>
                <w:szCs w:val="18"/>
                <w:lang w:val="en-US"/>
              </w:rPr>
              <w:t xml:space="preserve"> formula </w:t>
            </w:r>
            <w:proofErr w:type="spellStart"/>
            <w:r w:rsidRPr="005C26D0">
              <w:rPr>
                <w:color w:val="000000"/>
                <w:sz w:val="18"/>
                <w:szCs w:val="18"/>
                <w:lang w:val="en-US"/>
              </w:rPr>
              <w:t>prevăzută</w:t>
            </w:r>
            <w:proofErr w:type="spellEnd"/>
            <w:r w:rsidRPr="005C26D0">
              <w:rPr>
                <w:color w:val="000000"/>
                <w:sz w:val="18"/>
                <w:szCs w:val="18"/>
                <w:lang w:val="en-US"/>
              </w:rPr>
              <w:t xml:space="preserve"> la </w:t>
            </w:r>
            <w:proofErr w:type="spellStart"/>
            <w:r w:rsidRPr="005C26D0">
              <w:rPr>
                <w:color w:val="000000"/>
                <w:sz w:val="18"/>
                <w:szCs w:val="18"/>
                <w:lang w:val="en-US"/>
              </w:rPr>
              <w:t>articolul</w:t>
            </w:r>
            <w:proofErr w:type="spellEnd"/>
            <w:r w:rsidRPr="005C26D0">
              <w:rPr>
                <w:color w:val="000000"/>
                <w:sz w:val="18"/>
                <w:szCs w:val="18"/>
                <w:lang w:val="en-US"/>
              </w:rPr>
              <w:t xml:space="preserve"> 325f </w:t>
            </w:r>
            <w:proofErr w:type="spellStart"/>
            <w:r w:rsidRPr="005C26D0">
              <w:rPr>
                <w:color w:val="000000"/>
                <w:sz w:val="18"/>
                <w:szCs w:val="18"/>
                <w:lang w:val="en-US"/>
              </w:rPr>
              <w:t>alineatul</w:t>
            </w:r>
            <w:proofErr w:type="spellEnd"/>
            <w:r w:rsidRPr="005C26D0">
              <w:rPr>
                <w:color w:val="000000"/>
                <w:sz w:val="18"/>
                <w:szCs w:val="18"/>
                <w:lang w:val="en-US"/>
              </w:rPr>
              <w:t xml:space="preserve"> (8) din </w:t>
            </w:r>
            <w:proofErr w:type="spellStart"/>
            <w:r w:rsidRPr="005C26D0">
              <w:rPr>
                <w:color w:val="000000"/>
                <w:sz w:val="18"/>
                <w:szCs w:val="18"/>
                <w:lang w:val="en-US"/>
              </w:rPr>
              <w:t>regulamentul</w:t>
            </w:r>
            <w:proofErr w:type="spellEnd"/>
            <w:r w:rsidRPr="005C26D0">
              <w:rPr>
                <w:color w:val="000000"/>
                <w:sz w:val="18"/>
                <w:szCs w:val="18"/>
                <w:lang w:val="en-US"/>
              </w:rPr>
              <w:t xml:space="preserve"> </w:t>
            </w:r>
            <w:proofErr w:type="spellStart"/>
            <w:r w:rsidRPr="005C26D0">
              <w:rPr>
                <w:color w:val="000000"/>
                <w:sz w:val="18"/>
                <w:szCs w:val="18"/>
                <w:lang w:val="en-US"/>
              </w:rPr>
              <w:t>respectiv</w:t>
            </w:r>
            <w:proofErr w:type="spellEnd"/>
            <w:r w:rsidRPr="005C26D0">
              <w:rPr>
                <w:color w:val="000000"/>
                <w:sz w:val="18"/>
                <w:szCs w:val="18"/>
                <w:lang w:val="en-US"/>
              </w:rPr>
              <w:t xml:space="preserve">, pe </w:t>
            </w:r>
            <w:proofErr w:type="spellStart"/>
            <w:r w:rsidRPr="005C26D0">
              <w:rPr>
                <w:color w:val="000000"/>
                <w:sz w:val="18"/>
                <w:szCs w:val="18"/>
                <w:lang w:val="en-US"/>
              </w:rPr>
              <w:t>baza</w:t>
            </w:r>
            <w:proofErr w:type="spellEnd"/>
            <w:r w:rsidRPr="005C26D0">
              <w:rPr>
                <w:color w:val="000000"/>
                <w:sz w:val="18"/>
                <w:szCs w:val="18"/>
                <w:lang w:val="en-US"/>
              </w:rPr>
              <w:t xml:space="preserve"> </w:t>
            </w:r>
            <w:proofErr w:type="spellStart"/>
            <w:r w:rsidRPr="005C26D0">
              <w:rPr>
                <w:color w:val="000000"/>
                <w:sz w:val="18"/>
                <w:szCs w:val="18"/>
                <w:lang w:val="en-US"/>
              </w:rPr>
              <w:t>tuturor</w:t>
            </w:r>
            <w:proofErr w:type="spellEnd"/>
            <w:r w:rsidRPr="005C26D0">
              <w:rPr>
                <w:color w:val="000000"/>
                <w:sz w:val="18"/>
                <w:szCs w:val="18"/>
                <w:lang w:val="en-US"/>
              </w:rPr>
              <w:t xml:space="preserve"> </w:t>
            </w:r>
            <w:proofErr w:type="spellStart"/>
            <w:r w:rsidRPr="005C26D0">
              <w:rPr>
                <w:color w:val="000000"/>
                <w:sz w:val="18"/>
                <w:szCs w:val="18"/>
                <w:lang w:val="en-US"/>
              </w:rPr>
              <w:t>sensibilităților</w:t>
            </w:r>
            <w:proofErr w:type="spellEnd"/>
            <w:r w:rsidRPr="005C26D0">
              <w:rPr>
                <w:color w:val="000000"/>
                <w:sz w:val="18"/>
                <w:szCs w:val="18"/>
                <w:lang w:val="en-US"/>
              </w:rPr>
              <w:t xml:space="preserve"> </w:t>
            </w:r>
            <w:proofErr w:type="spellStart"/>
            <w:r w:rsidRPr="005C26D0">
              <w:rPr>
                <w:color w:val="000000"/>
                <w:sz w:val="18"/>
                <w:szCs w:val="18"/>
                <w:lang w:val="en-US"/>
              </w:rPr>
              <w:t>ponderate</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litera</w:t>
            </w:r>
            <w:proofErr w:type="spellEnd"/>
            <w:r w:rsidRPr="005C26D0">
              <w:rPr>
                <w:color w:val="000000"/>
                <w:sz w:val="18"/>
                <w:szCs w:val="18"/>
                <w:lang w:val="en-US"/>
              </w:rPr>
              <w:t xml:space="preserve"> (b) ale </w:t>
            </w:r>
            <w:proofErr w:type="spellStart"/>
            <w:r w:rsidRPr="005C26D0">
              <w:rPr>
                <w:color w:val="000000"/>
                <w:sz w:val="18"/>
                <w:szCs w:val="18"/>
                <w:lang w:val="en-US"/>
              </w:rPr>
              <w:t>determinanților</w:t>
            </w:r>
            <w:proofErr w:type="spellEnd"/>
            <w:r w:rsidRPr="005C26D0">
              <w:rPr>
                <w:color w:val="000000"/>
                <w:sz w:val="18"/>
                <w:szCs w:val="18"/>
                <w:lang w:val="en-US"/>
              </w:rPr>
              <w:t xml:space="preserve"> de </w:t>
            </w:r>
            <w:proofErr w:type="spellStart"/>
            <w:r w:rsidRPr="005C26D0">
              <w:rPr>
                <w:color w:val="000000"/>
                <w:sz w:val="18"/>
                <w:szCs w:val="18"/>
                <w:lang w:val="en-US"/>
              </w:rPr>
              <w:lastRenderedPageBreak/>
              <w:t>risc</w:t>
            </w:r>
            <w:proofErr w:type="spellEnd"/>
            <w:r w:rsidRPr="005C26D0">
              <w:rPr>
                <w:color w:val="000000"/>
                <w:sz w:val="18"/>
                <w:szCs w:val="18"/>
                <w:lang w:val="en-US"/>
              </w:rPr>
              <w:t xml:space="preserve"> care au </w:t>
            </w:r>
            <w:proofErr w:type="spellStart"/>
            <w:r w:rsidRPr="005C26D0">
              <w:rPr>
                <w:color w:val="000000"/>
                <w:sz w:val="18"/>
                <w:szCs w:val="18"/>
                <w:lang w:val="en-US"/>
              </w:rPr>
              <w:t>fost</w:t>
            </w:r>
            <w:proofErr w:type="spellEnd"/>
            <w:r w:rsidRPr="005C26D0">
              <w:rPr>
                <w:color w:val="000000"/>
                <w:sz w:val="18"/>
                <w:szCs w:val="18"/>
                <w:lang w:val="en-US"/>
              </w:rPr>
              <w:t xml:space="preserve"> </w:t>
            </w:r>
            <w:proofErr w:type="spellStart"/>
            <w:r w:rsidRPr="005C26D0">
              <w:rPr>
                <w:color w:val="000000"/>
                <w:sz w:val="18"/>
                <w:szCs w:val="18"/>
                <w:lang w:val="en-US"/>
              </w:rPr>
              <w:t>încadrați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categoria</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proofErr w:type="gramStart"/>
            <w:r w:rsidRPr="005C26D0">
              <w:rPr>
                <w:color w:val="000000"/>
                <w:sz w:val="18"/>
                <w:szCs w:val="18"/>
                <w:lang w:val="en-US"/>
              </w:rPr>
              <w:t>respectivă</w:t>
            </w:r>
            <w:proofErr w:type="spellEnd"/>
            <w:r w:rsidRPr="005C26D0">
              <w:rPr>
                <w:color w:val="000000"/>
                <w:sz w:val="18"/>
                <w:szCs w:val="18"/>
                <w:lang w:val="en-US"/>
              </w:rPr>
              <w:t>;</w:t>
            </w:r>
            <w:proofErr w:type="gramEnd"/>
          </w:p>
          <w:p w14:paraId="658638A6" w14:textId="3A161BC4" w:rsidR="002D6B17" w:rsidRPr="005C26D0" w:rsidRDefault="002D6B17" w:rsidP="002D6B17">
            <w:pPr>
              <w:shd w:val="clear" w:color="auto" w:fill="FFFFFF"/>
              <w:rPr>
                <w:color w:val="000000"/>
                <w:sz w:val="18"/>
                <w:szCs w:val="18"/>
                <w:lang w:val="en-US"/>
              </w:rPr>
            </w:pPr>
            <w:r w:rsidRPr="005C26D0">
              <w:rPr>
                <w:color w:val="000000"/>
                <w:sz w:val="18"/>
                <w:szCs w:val="18"/>
                <w:lang w:val="en-US"/>
              </w:rPr>
              <w:t>(d) </w:t>
            </w:r>
            <w:proofErr w:type="spellStart"/>
            <w:r w:rsidRPr="005C26D0">
              <w:rPr>
                <w:color w:val="000000"/>
                <w:sz w:val="18"/>
                <w:szCs w:val="18"/>
                <w:lang w:val="en-US"/>
              </w:rPr>
              <w:t>ierarhizează</w:t>
            </w:r>
            <w:proofErr w:type="spellEnd"/>
            <w:r w:rsidRPr="005C26D0">
              <w:rPr>
                <w:color w:val="000000"/>
                <w:sz w:val="18"/>
                <w:szCs w:val="18"/>
                <w:lang w:val="en-US"/>
              </w:rPr>
              <w:t xml:space="preserve"> </w:t>
            </w:r>
            <w:proofErr w:type="spellStart"/>
            <w:r w:rsidRPr="005C26D0">
              <w:rPr>
                <w:color w:val="000000"/>
                <w:sz w:val="18"/>
                <w:szCs w:val="18"/>
                <w:lang w:val="en-US"/>
              </w:rPr>
              <w:t>toate</w:t>
            </w:r>
            <w:proofErr w:type="spellEnd"/>
            <w:r w:rsidRPr="005C26D0">
              <w:rPr>
                <w:color w:val="000000"/>
                <w:sz w:val="18"/>
                <w:szCs w:val="18"/>
                <w:lang w:val="en-US"/>
              </w:rPr>
              <w:t xml:space="preserve"> </w:t>
            </w:r>
            <w:proofErr w:type="spellStart"/>
            <w:r w:rsidRPr="005C26D0">
              <w:rPr>
                <w:color w:val="000000"/>
                <w:sz w:val="18"/>
                <w:szCs w:val="18"/>
                <w:lang w:val="en-US"/>
              </w:rPr>
              <w:t>cerințele</w:t>
            </w:r>
            <w:proofErr w:type="spellEnd"/>
            <w:r w:rsidRPr="005C26D0">
              <w:rPr>
                <w:color w:val="000000"/>
                <w:sz w:val="18"/>
                <w:szCs w:val="18"/>
                <w:lang w:val="en-US"/>
              </w:rPr>
              <w:t xml:space="preserve"> de </w:t>
            </w:r>
            <w:proofErr w:type="spellStart"/>
            <w:r w:rsidRPr="005C26D0">
              <w:rPr>
                <w:color w:val="000000"/>
                <w:sz w:val="18"/>
                <w:szCs w:val="18"/>
                <w:lang w:val="en-US"/>
              </w:rPr>
              <w:t>fonduri</w:t>
            </w:r>
            <w:proofErr w:type="spellEnd"/>
            <w:r w:rsidRPr="005C26D0">
              <w:rPr>
                <w:color w:val="000000"/>
                <w:sz w:val="18"/>
                <w:szCs w:val="18"/>
                <w:lang w:val="en-US"/>
              </w:rPr>
              <w:t xml:space="preserve"> </w:t>
            </w:r>
            <w:proofErr w:type="spellStart"/>
            <w:r w:rsidRPr="005C26D0">
              <w:rPr>
                <w:color w:val="000000"/>
                <w:sz w:val="18"/>
                <w:szCs w:val="18"/>
                <w:lang w:val="en-US"/>
              </w:rPr>
              <w:t>proprii</w:t>
            </w:r>
            <w:proofErr w:type="spellEnd"/>
            <w:r w:rsidRPr="005C26D0">
              <w:rPr>
                <w:color w:val="000000"/>
                <w:sz w:val="18"/>
                <w:szCs w:val="18"/>
                <w:lang w:val="en-US"/>
              </w:rPr>
              <w:t xml:space="preserve"> </w:t>
            </w:r>
            <w:proofErr w:type="spellStart"/>
            <w:r w:rsidRPr="005C26D0">
              <w:rPr>
                <w:color w:val="000000"/>
                <w:sz w:val="18"/>
                <w:szCs w:val="18"/>
                <w:lang w:val="en-US"/>
              </w:rPr>
              <w:t>specifice</w:t>
            </w:r>
            <w:proofErr w:type="spellEnd"/>
            <w:r w:rsidRPr="005C26D0">
              <w:rPr>
                <w:color w:val="000000"/>
                <w:sz w:val="18"/>
                <w:szCs w:val="18"/>
                <w:lang w:val="en-US"/>
              </w:rPr>
              <w:t xml:space="preserve"> </w:t>
            </w:r>
            <w:proofErr w:type="spellStart"/>
            <w:r w:rsidRPr="005C26D0">
              <w:rPr>
                <w:color w:val="000000"/>
                <w:sz w:val="18"/>
                <w:szCs w:val="18"/>
                <w:lang w:val="en-US"/>
              </w:rPr>
              <w:t>unei</w:t>
            </w:r>
            <w:proofErr w:type="spellEnd"/>
            <w:r w:rsidRPr="005C26D0">
              <w:rPr>
                <w:color w:val="000000"/>
                <w:sz w:val="18"/>
                <w:szCs w:val="18"/>
                <w:lang w:val="en-US"/>
              </w:rPr>
              <w:t xml:space="preserve"> </w:t>
            </w:r>
            <w:proofErr w:type="spellStart"/>
            <w:r w:rsidRPr="005C26D0">
              <w:rPr>
                <w:color w:val="000000"/>
                <w:sz w:val="18"/>
                <w:szCs w:val="18"/>
                <w:lang w:val="en-US"/>
              </w:rPr>
              <w:t>clase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riscul</w:t>
            </w:r>
            <w:proofErr w:type="spellEnd"/>
            <w:r w:rsidRPr="005C26D0">
              <w:rPr>
                <w:color w:val="000000"/>
                <w:sz w:val="18"/>
                <w:szCs w:val="18"/>
                <w:lang w:val="en-US"/>
              </w:rPr>
              <w:t xml:space="preserve"> de </w:t>
            </w:r>
            <w:proofErr w:type="spellStart"/>
            <w:r w:rsidRPr="005C26D0">
              <w:rPr>
                <w:color w:val="000000"/>
                <w:sz w:val="18"/>
                <w:szCs w:val="18"/>
                <w:lang w:val="en-US"/>
              </w:rPr>
              <w:t>piață</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litera</w:t>
            </w:r>
            <w:proofErr w:type="spellEnd"/>
            <w:r w:rsidRPr="005C26D0">
              <w:rPr>
                <w:color w:val="000000"/>
                <w:sz w:val="18"/>
                <w:szCs w:val="18"/>
                <w:lang w:val="en-US"/>
              </w:rPr>
              <w:t xml:space="preserve"> (c) de la </w:t>
            </w:r>
            <w:proofErr w:type="spellStart"/>
            <w:r w:rsidRPr="005C26D0">
              <w:rPr>
                <w:color w:val="000000"/>
                <w:sz w:val="18"/>
                <w:szCs w:val="18"/>
                <w:lang w:val="en-US"/>
              </w:rPr>
              <w:t>cea</w:t>
            </w:r>
            <w:proofErr w:type="spellEnd"/>
            <w:r w:rsidRPr="005C26D0">
              <w:rPr>
                <w:color w:val="000000"/>
                <w:sz w:val="18"/>
                <w:szCs w:val="18"/>
                <w:lang w:val="en-US"/>
              </w:rPr>
              <w:t xml:space="preserve"> </w:t>
            </w:r>
            <w:proofErr w:type="spellStart"/>
            <w:r w:rsidRPr="005C26D0">
              <w:rPr>
                <w:color w:val="000000"/>
                <w:sz w:val="18"/>
                <w:szCs w:val="18"/>
                <w:lang w:val="en-US"/>
              </w:rPr>
              <w:t>mai</w:t>
            </w:r>
            <w:proofErr w:type="spellEnd"/>
            <w:r w:rsidRPr="005C26D0">
              <w:rPr>
                <w:color w:val="000000"/>
                <w:sz w:val="18"/>
                <w:szCs w:val="18"/>
                <w:lang w:val="en-US"/>
              </w:rPr>
              <w:t xml:space="preserve"> mare la </w:t>
            </w:r>
            <w:proofErr w:type="spellStart"/>
            <w:r w:rsidRPr="005C26D0">
              <w:rPr>
                <w:color w:val="000000"/>
                <w:sz w:val="18"/>
                <w:szCs w:val="18"/>
                <w:lang w:val="en-US"/>
              </w:rPr>
              <w:t>cea</w:t>
            </w:r>
            <w:proofErr w:type="spellEnd"/>
            <w:r w:rsidRPr="005C26D0">
              <w:rPr>
                <w:color w:val="000000"/>
                <w:sz w:val="18"/>
                <w:szCs w:val="18"/>
                <w:lang w:val="en-US"/>
              </w:rPr>
              <w:t xml:space="preserve">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mică</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valoare</w:t>
            </w:r>
            <w:proofErr w:type="spellEnd"/>
            <w:r w:rsidRPr="005C26D0">
              <w:rPr>
                <w:color w:val="000000"/>
                <w:sz w:val="18"/>
                <w:szCs w:val="18"/>
                <w:lang w:val="en-US"/>
              </w:rPr>
              <w:t xml:space="preserve"> </w:t>
            </w:r>
            <w:proofErr w:type="spellStart"/>
            <w:r w:rsidRPr="005C26D0">
              <w:rPr>
                <w:color w:val="000000"/>
                <w:sz w:val="18"/>
                <w:szCs w:val="18"/>
                <w:lang w:val="en-US"/>
              </w:rPr>
              <w:t>absolută</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gramStart"/>
            <w:r w:rsidRPr="005C26D0">
              <w:rPr>
                <w:color w:val="000000"/>
                <w:sz w:val="18"/>
                <w:szCs w:val="18"/>
                <w:lang w:val="en-US"/>
              </w:rPr>
              <w:t>a</w:t>
            </w:r>
            <w:proofErr w:type="gramEnd"/>
            <w:r w:rsidRPr="005C26D0">
              <w:rPr>
                <w:color w:val="000000"/>
                <w:sz w:val="18"/>
                <w:szCs w:val="18"/>
                <w:lang w:val="en-US"/>
              </w:rPr>
              <w:t xml:space="preserve"> </w:t>
            </w:r>
            <w:proofErr w:type="spellStart"/>
            <w:r w:rsidRPr="005C26D0">
              <w:rPr>
                <w:color w:val="000000"/>
                <w:sz w:val="18"/>
                <w:szCs w:val="18"/>
                <w:lang w:val="en-US"/>
              </w:rPr>
              <w:t>obține</w:t>
            </w:r>
            <w:proofErr w:type="spellEnd"/>
            <w:r w:rsidRPr="005C26D0">
              <w:rPr>
                <w:color w:val="000000"/>
                <w:sz w:val="18"/>
                <w:szCs w:val="18"/>
                <w:lang w:val="en-US"/>
              </w:rPr>
              <w:t xml:space="preserve"> un </w:t>
            </w:r>
            <w:proofErr w:type="spellStart"/>
            <w:r w:rsidRPr="005C26D0">
              <w:rPr>
                <w:color w:val="000000"/>
                <w:sz w:val="18"/>
                <w:szCs w:val="18"/>
                <w:lang w:val="en-US"/>
              </w:rPr>
              <w:t>șir</w:t>
            </w:r>
            <w:proofErr w:type="spellEnd"/>
            <w:r w:rsidRPr="005C26D0">
              <w:rPr>
                <w:color w:val="000000"/>
                <w:sz w:val="18"/>
                <w:szCs w:val="18"/>
                <w:lang w:val="en-US"/>
              </w:rPr>
              <w:t xml:space="preserve"> </w:t>
            </w:r>
            <w:proofErr w:type="spellStart"/>
            <w:r w:rsidRPr="005C26D0">
              <w:rPr>
                <w:color w:val="000000"/>
                <w:sz w:val="18"/>
                <w:szCs w:val="18"/>
                <w:lang w:val="en-US"/>
              </w:rPr>
              <w:t>descrescător</w:t>
            </w:r>
            <w:proofErr w:type="spellEnd"/>
            <w:r w:rsidRPr="005C26D0">
              <w:rPr>
                <w:color w:val="000000"/>
                <w:sz w:val="18"/>
                <w:szCs w:val="18"/>
                <w:lang w:val="en-US"/>
              </w:rPr>
              <w:t xml:space="preserve"> </w:t>
            </w:r>
            <w:proofErr w:type="spellStart"/>
            <w:r w:rsidRPr="005C26D0">
              <w:rPr>
                <w:color w:val="000000"/>
                <w:sz w:val="18"/>
                <w:szCs w:val="18"/>
                <w:lang w:val="en-US"/>
              </w:rPr>
              <w:t>monoton</w:t>
            </w:r>
            <w:proofErr w:type="spellEnd"/>
            <w:r w:rsidRPr="005C26D0">
              <w:rPr>
                <w:color w:val="000000"/>
                <w:sz w:val="18"/>
                <w:szCs w:val="18"/>
                <w:lang w:val="en-US"/>
              </w:rPr>
              <w:t xml:space="preserve"> de </w:t>
            </w:r>
            <w:proofErr w:type="spellStart"/>
            <w:r w:rsidRPr="005C26D0">
              <w:rPr>
                <w:color w:val="000000"/>
                <w:sz w:val="18"/>
                <w:szCs w:val="18"/>
                <w:lang w:val="en-US"/>
              </w:rPr>
              <w:t>termeni</w:t>
            </w:r>
            <w:proofErr w:type="spellEnd"/>
            <w:r w:rsidRPr="005C26D0">
              <w:rPr>
                <w:color w:val="000000"/>
                <w:sz w:val="18"/>
                <w:szCs w:val="18"/>
                <w:lang w:val="en-US"/>
              </w:rPr>
              <w:t xml:space="preserve">, </w:t>
            </w:r>
            <w:proofErr w:type="spellStart"/>
            <w:r w:rsidRPr="005C26D0">
              <w:rPr>
                <w:color w:val="000000"/>
                <w:sz w:val="18"/>
                <w:szCs w:val="18"/>
                <w:lang w:val="en-US"/>
              </w:rPr>
              <w:t>unde</w:t>
            </w:r>
            <w:proofErr w:type="spellEnd"/>
            <w:r w:rsidRPr="005C26D0">
              <w:rPr>
                <w:color w:val="000000"/>
                <w:sz w:val="18"/>
                <w:szCs w:val="18"/>
                <w:lang w:val="en-US"/>
              </w:rPr>
              <w:t xml:space="preserve"> </w:t>
            </w:r>
            <w:proofErr w:type="spellStart"/>
            <w:r w:rsidRPr="005C26D0">
              <w:rPr>
                <w:color w:val="000000"/>
                <w:sz w:val="18"/>
                <w:szCs w:val="18"/>
                <w:lang w:val="en-US"/>
              </w:rPr>
              <w:t>termenul</w:t>
            </w:r>
            <w:proofErr w:type="spellEnd"/>
            <w:r w:rsidRPr="005C26D0">
              <w:rPr>
                <w:color w:val="000000"/>
                <w:sz w:val="18"/>
                <w:szCs w:val="18"/>
                <w:lang w:val="en-US"/>
              </w:rPr>
              <w:t> </w:t>
            </w:r>
            <w:r w:rsidRPr="005C26D0">
              <w:rPr>
                <w:rStyle w:val="italics"/>
                <w:i/>
                <w:iCs/>
                <w:color w:val="000000"/>
                <w:sz w:val="18"/>
                <w:szCs w:val="18"/>
                <w:lang w:val="en-US"/>
              </w:rPr>
              <w:t>a</w:t>
            </w:r>
            <w:r w:rsidRPr="005C26D0">
              <w:rPr>
                <w:rStyle w:val="subscript"/>
                <w:i/>
                <w:iCs/>
                <w:color w:val="000000"/>
                <w:sz w:val="18"/>
                <w:szCs w:val="18"/>
                <w:vertAlign w:val="subscript"/>
                <w:lang w:val="en-US"/>
              </w:rPr>
              <w:t>1</w:t>
            </w:r>
            <w:r w:rsidRPr="005C26D0">
              <w:rPr>
                <w:rStyle w:val="italics"/>
                <w:i/>
                <w:iCs/>
                <w:color w:val="000000"/>
                <w:sz w:val="18"/>
                <w:szCs w:val="18"/>
                <w:lang w:val="en-US"/>
              </w:rPr>
              <w:t> </w:t>
            </w:r>
            <w:proofErr w:type="spellStart"/>
            <w:r w:rsidRPr="005C26D0">
              <w:rPr>
                <w:color w:val="000000"/>
                <w:sz w:val="18"/>
                <w:szCs w:val="18"/>
                <w:lang w:val="en-US"/>
              </w:rPr>
              <w:t>este</w:t>
            </w:r>
            <w:proofErr w:type="spellEnd"/>
            <w:r w:rsidRPr="005C26D0">
              <w:rPr>
                <w:color w:val="000000"/>
                <w:sz w:val="18"/>
                <w:szCs w:val="18"/>
                <w:lang w:val="en-US"/>
              </w:rPr>
              <w:t xml:space="preserve"> </w:t>
            </w:r>
            <w:proofErr w:type="spellStart"/>
            <w:r w:rsidRPr="005C26D0">
              <w:rPr>
                <w:color w:val="000000"/>
                <w:sz w:val="18"/>
                <w:szCs w:val="18"/>
                <w:lang w:val="en-US"/>
              </w:rPr>
              <w:t>cea</w:t>
            </w:r>
            <w:proofErr w:type="spellEnd"/>
            <w:r w:rsidRPr="005C26D0">
              <w:rPr>
                <w:color w:val="000000"/>
                <w:sz w:val="18"/>
                <w:szCs w:val="18"/>
                <w:lang w:val="en-US"/>
              </w:rPr>
              <w:t xml:space="preserve"> </w:t>
            </w:r>
            <w:proofErr w:type="spellStart"/>
            <w:r w:rsidRPr="005C26D0">
              <w:rPr>
                <w:color w:val="000000"/>
                <w:sz w:val="18"/>
                <w:szCs w:val="18"/>
                <w:lang w:val="en-US"/>
              </w:rPr>
              <w:t>mai</w:t>
            </w:r>
            <w:proofErr w:type="spellEnd"/>
            <w:r w:rsidRPr="005C26D0">
              <w:rPr>
                <w:color w:val="000000"/>
                <w:sz w:val="18"/>
                <w:szCs w:val="18"/>
                <w:lang w:val="en-US"/>
              </w:rPr>
              <w:t xml:space="preserve"> mare </w:t>
            </w:r>
            <w:proofErr w:type="spellStart"/>
            <w:r w:rsidRPr="005C26D0">
              <w:rPr>
                <w:color w:val="000000"/>
                <w:sz w:val="18"/>
                <w:szCs w:val="18"/>
                <w:lang w:val="en-US"/>
              </w:rPr>
              <w:t>valoare</w:t>
            </w:r>
            <w:proofErr w:type="spellEnd"/>
            <w:r w:rsidRPr="005C26D0">
              <w:rPr>
                <w:color w:val="000000"/>
                <w:sz w:val="18"/>
                <w:szCs w:val="18"/>
                <w:lang w:val="en-US"/>
              </w:rPr>
              <w:t xml:space="preserve"> </w:t>
            </w:r>
            <w:proofErr w:type="spellStart"/>
            <w:r w:rsidRPr="005C26D0">
              <w:rPr>
                <w:color w:val="000000"/>
                <w:sz w:val="18"/>
                <w:szCs w:val="18"/>
                <w:lang w:val="en-US"/>
              </w:rPr>
              <w:t>absolută</w:t>
            </w:r>
            <w:proofErr w:type="spellEnd"/>
            <w:r w:rsidRPr="005C26D0">
              <w:rPr>
                <w:color w:val="000000"/>
                <w:sz w:val="18"/>
                <w:szCs w:val="18"/>
                <w:lang w:val="en-US"/>
              </w:rPr>
              <w:t>, </w:t>
            </w:r>
            <w:r w:rsidRPr="005C26D0">
              <w:rPr>
                <w:rStyle w:val="italics"/>
                <w:i/>
                <w:iCs/>
                <w:color w:val="000000"/>
                <w:sz w:val="18"/>
                <w:szCs w:val="18"/>
                <w:lang w:val="en-US"/>
              </w:rPr>
              <w:t>a</w:t>
            </w:r>
            <w:r w:rsidRPr="005C26D0">
              <w:rPr>
                <w:rStyle w:val="subscript"/>
                <w:i/>
                <w:iCs/>
                <w:color w:val="000000"/>
                <w:sz w:val="18"/>
                <w:szCs w:val="18"/>
                <w:vertAlign w:val="subscript"/>
                <w:lang w:val="en-US"/>
              </w:rPr>
              <w:t>2</w:t>
            </w:r>
            <w:r w:rsidRPr="005C26D0">
              <w:rPr>
                <w:rStyle w:val="italics"/>
                <w:i/>
                <w:iCs/>
                <w:color w:val="000000"/>
                <w:sz w:val="18"/>
                <w:szCs w:val="18"/>
                <w:lang w:val="en-US"/>
              </w:rPr>
              <w:t> </w:t>
            </w:r>
            <w:proofErr w:type="spellStart"/>
            <w:r w:rsidRPr="005C26D0">
              <w:rPr>
                <w:color w:val="000000"/>
                <w:sz w:val="18"/>
                <w:szCs w:val="18"/>
                <w:lang w:val="en-US"/>
              </w:rPr>
              <w:t>este</w:t>
            </w:r>
            <w:proofErr w:type="spellEnd"/>
            <w:r w:rsidRPr="005C26D0">
              <w:rPr>
                <w:color w:val="000000"/>
                <w:sz w:val="18"/>
                <w:szCs w:val="18"/>
                <w:lang w:val="en-US"/>
              </w:rPr>
              <w:t xml:space="preserve"> </w:t>
            </w:r>
            <w:proofErr w:type="spellStart"/>
            <w:r w:rsidRPr="005C26D0">
              <w:rPr>
                <w:color w:val="000000"/>
                <w:sz w:val="18"/>
                <w:szCs w:val="18"/>
                <w:lang w:val="en-US"/>
              </w:rPr>
              <w:t>următoarea</w:t>
            </w:r>
            <w:proofErr w:type="spellEnd"/>
            <w:r w:rsidRPr="005C26D0">
              <w:rPr>
                <w:color w:val="000000"/>
                <w:sz w:val="18"/>
                <w:szCs w:val="18"/>
                <w:lang w:val="en-US"/>
              </w:rPr>
              <w:t xml:space="preserve"> </w:t>
            </w:r>
            <w:proofErr w:type="spellStart"/>
            <w:r w:rsidRPr="005C26D0">
              <w:rPr>
                <w:color w:val="000000"/>
                <w:sz w:val="18"/>
                <w:szCs w:val="18"/>
                <w:lang w:val="en-US"/>
              </w:rPr>
              <w:t>și</w:t>
            </w:r>
            <w:proofErr w:type="spellEnd"/>
            <w:r w:rsidRPr="005C26D0">
              <w:rPr>
                <w:color w:val="000000"/>
                <w:sz w:val="18"/>
                <w:szCs w:val="18"/>
                <w:lang w:val="en-US"/>
              </w:rPr>
              <w:t xml:space="preserve"> </w:t>
            </w:r>
            <w:proofErr w:type="spellStart"/>
            <w:r w:rsidRPr="005C26D0">
              <w:rPr>
                <w:color w:val="000000"/>
                <w:sz w:val="18"/>
                <w:szCs w:val="18"/>
                <w:lang w:val="en-US"/>
              </w:rPr>
              <w:t>așa</w:t>
            </w:r>
            <w:proofErr w:type="spellEnd"/>
            <w:r w:rsidRPr="005C26D0">
              <w:rPr>
                <w:color w:val="000000"/>
                <w:sz w:val="18"/>
                <w:szCs w:val="18"/>
                <w:lang w:val="en-US"/>
              </w:rPr>
              <w:t xml:space="preserve">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proofErr w:type="gramStart"/>
            <w:r w:rsidRPr="005C26D0">
              <w:rPr>
                <w:color w:val="000000"/>
                <w:sz w:val="18"/>
                <w:szCs w:val="18"/>
                <w:lang w:val="en-US"/>
              </w:rPr>
              <w:t>departe</w:t>
            </w:r>
            <w:proofErr w:type="spellEnd"/>
            <w:r w:rsidRPr="005C26D0">
              <w:rPr>
                <w:color w:val="000000"/>
                <w:sz w:val="18"/>
                <w:szCs w:val="18"/>
                <w:lang w:val="en-US"/>
              </w:rPr>
              <w:t>;</w:t>
            </w:r>
            <w:proofErr w:type="gramEnd"/>
          </w:p>
          <w:p w14:paraId="2A3083AE" w14:textId="7D341095" w:rsidR="002D6B17" w:rsidRPr="005C26D0" w:rsidRDefault="002D6B17" w:rsidP="002D6B17">
            <w:pPr>
              <w:shd w:val="clear" w:color="auto" w:fill="FFFFFF"/>
              <w:rPr>
                <w:color w:val="000000"/>
                <w:sz w:val="18"/>
                <w:szCs w:val="18"/>
                <w:lang w:val="en-US"/>
              </w:rPr>
            </w:pPr>
            <w:r w:rsidRPr="005C26D0">
              <w:rPr>
                <w:color w:val="000000"/>
                <w:sz w:val="18"/>
                <w:szCs w:val="18"/>
                <w:lang w:val="en-US"/>
              </w:rPr>
              <w:t>(e)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fiecare</w:t>
            </w:r>
            <w:proofErr w:type="spellEnd"/>
            <w:r w:rsidRPr="005C26D0">
              <w:rPr>
                <w:color w:val="000000"/>
                <w:sz w:val="18"/>
                <w:szCs w:val="18"/>
                <w:lang w:val="en-US"/>
              </w:rPr>
              <w:t xml:space="preserve"> termen </w:t>
            </w:r>
            <w:r w:rsidRPr="005C26D0">
              <w:rPr>
                <w:rStyle w:val="italics"/>
                <w:i/>
                <w:iCs/>
                <w:color w:val="000000"/>
                <w:sz w:val="18"/>
                <w:szCs w:val="18"/>
                <w:lang w:val="en-US"/>
              </w:rPr>
              <w:t>a</w:t>
            </w:r>
            <w:r w:rsidRPr="005C26D0">
              <w:rPr>
                <w:rStyle w:val="subscript"/>
                <w:i/>
                <w:iCs/>
                <w:color w:val="000000"/>
                <w:sz w:val="18"/>
                <w:szCs w:val="18"/>
                <w:vertAlign w:val="subscript"/>
                <w:lang w:val="en-US"/>
              </w:rPr>
              <w:t>i</w:t>
            </w:r>
            <w:r w:rsidRPr="005C26D0">
              <w:rPr>
                <w:rStyle w:val="italics"/>
                <w:i/>
                <w:iCs/>
                <w:color w:val="000000"/>
                <w:sz w:val="18"/>
                <w:szCs w:val="18"/>
                <w:lang w:val="en-US"/>
              </w:rPr>
              <w:t> </w:t>
            </w:r>
            <w:proofErr w:type="spellStart"/>
            <w:r w:rsidRPr="005C26D0">
              <w:rPr>
                <w:color w:val="000000"/>
                <w:sz w:val="18"/>
                <w:szCs w:val="18"/>
                <w:lang w:val="en-US"/>
              </w:rPr>
              <w:t>calculat</w:t>
            </w:r>
            <w:proofErr w:type="spellEnd"/>
            <w:r w:rsidRPr="005C26D0">
              <w:rPr>
                <w:color w:val="000000"/>
                <w:sz w:val="18"/>
                <w:szCs w:val="18"/>
                <w:lang w:val="en-US"/>
              </w:rPr>
              <w:t xml:space="preserve"> </w:t>
            </w:r>
            <w:proofErr w:type="spellStart"/>
            <w:r w:rsidRPr="005C26D0">
              <w:rPr>
                <w:color w:val="000000"/>
                <w:sz w:val="18"/>
                <w:szCs w:val="18"/>
                <w:lang w:val="en-US"/>
              </w:rPr>
              <w:t>și</w:t>
            </w:r>
            <w:proofErr w:type="spellEnd"/>
            <w:r w:rsidRPr="005C26D0">
              <w:rPr>
                <w:color w:val="000000"/>
                <w:sz w:val="18"/>
                <w:szCs w:val="18"/>
                <w:lang w:val="en-US"/>
              </w:rPr>
              <w:t xml:space="preserve"> </w:t>
            </w:r>
            <w:proofErr w:type="spellStart"/>
            <w:r w:rsidRPr="005C26D0">
              <w:rPr>
                <w:color w:val="000000"/>
                <w:sz w:val="18"/>
                <w:szCs w:val="18"/>
                <w:lang w:val="en-US"/>
              </w:rPr>
              <w:t>ierarhizat</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litera</w:t>
            </w:r>
            <w:proofErr w:type="spellEnd"/>
            <w:r w:rsidRPr="005C26D0">
              <w:rPr>
                <w:color w:val="000000"/>
                <w:sz w:val="18"/>
                <w:szCs w:val="18"/>
                <w:lang w:val="en-US"/>
              </w:rPr>
              <w:t xml:space="preserve"> (d) </w:t>
            </w:r>
            <w:proofErr w:type="spellStart"/>
            <w:r w:rsidRPr="005C26D0">
              <w:rPr>
                <w:color w:val="000000"/>
                <w:sz w:val="18"/>
                <w:szCs w:val="18"/>
                <w:lang w:val="en-US"/>
              </w:rPr>
              <w:t>și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ordinea</w:t>
            </w:r>
            <w:proofErr w:type="spellEnd"/>
            <w:r w:rsidRPr="005C26D0">
              <w:rPr>
                <w:color w:val="000000"/>
                <w:sz w:val="18"/>
                <w:szCs w:val="18"/>
                <w:lang w:val="en-US"/>
              </w:rPr>
              <w:t xml:space="preserve"> care </w:t>
            </w:r>
            <w:proofErr w:type="spellStart"/>
            <w:r w:rsidRPr="005C26D0">
              <w:rPr>
                <w:color w:val="000000"/>
                <w:sz w:val="18"/>
                <w:szCs w:val="18"/>
                <w:lang w:val="en-US"/>
              </w:rPr>
              <w:t>rezultă</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urma</w:t>
            </w:r>
            <w:proofErr w:type="spellEnd"/>
            <w:r w:rsidRPr="005C26D0">
              <w:rPr>
                <w:color w:val="000000"/>
                <w:sz w:val="18"/>
                <w:szCs w:val="18"/>
                <w:lang w:val="en-US"/>
              </w:rPr>
              <w:t xml:space="preserve"> </w:t>
            </w:r>
            <w:proofErr w:type="spellStart"/>
            <w:r w:rsidRPr="005C26D0">
              <w:rPr>
                <w:color w:val="000000"/>
                <w:sz w:val="18"/>
                <w:szCs w:val="18"/>
                <w:lang w:val="en-US"/>
              </w:rPr>
              <w:t>ierarhizării</w:t>
            </w:r>
            <w:proofErr w:type="spellEnd"/>
            <w:r w:rsidRPr="005C26D0">
              <w:rPr>
                <w:color w:val="000000"/>
                <w:sz w:val="18"/>
                <w:szCs w:val="18"/>
                <w:lang w:val="en-US"/>
              </w:rPr>
              <w:t xml:space="preserve">, </w:t>
            </w:r>
            <w:proofErr w:type="spellStart"/>
            <w:r w:rsidRPr="005C26D0">
              <w:rPr>
                <w:color w:val="000000"/>
                <w:sz w:val="18"/>
                <w:szCs w:val="18"/>
                <w:lang w:val="en-US"/>
              </w:rPr>
              <w:t>verifică</w:t>
            </w:r>
            <w:proofErr w:type="spellEnd"/>
            <w:r w:rsidRPr="005C26D0">
              <w:rPr>
                <w:color w:val="000000"/>
                <w:sz w:val="18"/>
                <w:szCs w:val="18"/>
                <w:lang w:val="en-US"/>
              </w:rPr>
              <w:t xml:space="preserve"> </w:t>
            </w:r>
            <w:proofErr w:type="spellStart"/>
            <w:r w:rsidRPr="005C26D0">
              <w:rPr>
                <w:color w:val="000000"/>
                <w:sz w:val="18"/>
                <w:szCs w:val="18"/>
                <w:lang w:val="en-US"/>
              </w:rPr>
              <w:t>dacă</w:t>
            </w:r>
            <w:proofErr w:type="spellEnd"/>
            <w:r w:rsidRPr="005C26D0">
              <w:rPr>
                <w:color w:val="000000"/>
                <w:sz w:val="18"/>
                <w:szCs w:val="18"/>
                <w:lang w:val="en-US"/>
              </w:rPr>
              <w:t xml:space="preserve"> </w:t>
            </w:r>
            <w:proofErr w:type="spellStart"/>
            <w:r w:rsidRPr="005C26D0">
              <w:rPr>
                <w:color w:val="000000"/>
                <w:sz w:val="18"/>
                <w:szCs w:val="18"/>
                <w:lang w:val="en-US"/>
              </w:rPr>
              <w:t>este</w:t>
            </w:r>
            <w:proofErr w:type="spellEnd"/>
            <w:r w:rsidRPr="005C26D0">
              <w:rPr>
                <w:color w:val="000000"/>
                <w:sz w:val="18"/>
                <w:szCs w:val="18"/>
                <w:lang w:val="en-US"/>
              </w:rPr>
              <w:t xml:space="preserve"> </w:t>
            </w:r>
            <w:proofErr w:type="spellStart"/>
            <w:r w:rsidRPr="005C26D0">
              <w:rPr>
                <w:color w:val="000000"/>
                <w:sz w:val="18"/>
                <w:szCs w:val="18"/>
                <w:lang w:val="en-US"/>
              </w:rPr>
              <w:t>îndeplinită</w:t>
            </w:r>
            <w:proofErr w:type="spellEnd"/>
            <w:r w:rsidRPr="005C26D0">
              <w:rPr>
                <w:color w:val="000000"/>
                <w:sz w:val="18"/>
                <w:szCs w:val="18"/>
                <w:lang w:val="en-US"/>
              </w:rPr>
              <w:t xml:space="preserve"> </w:t>
            </w:r>
            <w:proofErr w:type="spellStart"/>
            <w:r w:rsidRPr="005C26D0">
              <w:rPr>
                <w:color w:val="000000"/>
                <w:sz w:val="18"/>
                <w:szCs w:val="18"/>
                <w:lang w:val="en-US"/>
              </w:rPr>
              <w:t>următoarea</w:t>
            </w:r>
            <w:proofErr w:type="spellEnd"/>
            <w:r w:rsidRPr="005C26D0">
              <w:rPr>
                <w:color w:val="000000"/>
                <w:sz w:val="18"/>
                <w:szCs w:val="18"/>
                <w:lang w:val="en-US"/>
              </w:rPr>
              <w:t xml:space="preserve"> </w:t>
            </w:r>
            <w:proofErr w:type="spellStart"/>
            <w:r w:rsidRPr="005C26D0">
              <w:rPr>
                <w:color w:val="000000"/>
                <w:sz w:val="18"/>
                <w:szCs w:val="18"/>
                <w:lang w:val="en-US"/>
              </w:rPr>
              <w:t>condiție</w:t>
            </w:r>
            <w:proofErr w:type="spellEnd"/>
            <w:r w:rsidRPr="005C26D0">
              <w:rPr>
                <w:color w:val="000000"/>
                <w:sz w:val="18"/>
                <w:szCs w:val="18"/>
                <w:lang w:val="en-US"/>
              </w:rPr>
              <w:t>:</w:t>
            </w:r>
          </w:p>
          <w:p w14:paraId="223872F8" w14:textId="0BA535CB" w:rsidR="002D6B17" w:rsidRPr="005C26D0" w:rsidRDefault="002D6B17" w:rsidP="002D6B17">
            <w:pPr>
              <w:pStyle w:val="List2"/>
              <w:shd w:val="clear" w:color="auto" w:fill="FFFFFF"/>
              <w:spacing w:before="120" w:beforeAutospacing="0" w:after="150" w:afterAutospacing="0"/>
              <w:rPr>
                <w:color w:val="000000"/>
                <w:sz w:val="18"/>
                <w:szCs w:val="18"/>
              </w:rPr>
            </w:pPr>
            <w:r w:rsidRPr="005C26D0">
              <w:rPr>
                <w:noProof/>
                <w:color w:val="000000"/>
                <w:sz w:val="18"/>
                <w:szCs w:val="18"/>
              </w:rPr>
              <w:drawing>
                <wp:inline distT="0" distB="0" distL="0" distR="0" wp14:anchorId="74FB62D3" wp14:editId="6E150A1B">
                  <wp:extent cx="1169670" cy="499745"/>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9670" cy="499745"/>
                          </a:xfrm>
                          <a:prstGeom prst="rect">
                            <a:avLst/>
                          </a:prstGeom>
                          <a:noFill/>
                          <a:ln>
                            <a:noFill/>
                          </a:ln>
                        </pic:spPr>
                      </pic:pic>
                    </a:graphicData>
                  </a:graphic>
                </wp:inline>
              </w:drawing>
            </w:r>
          </w:p>
          <w:p w14:paraId="6A9F55E1" w14:textId="77777777" w:rsidR="002D6B17" w:rsidRPr="005C26D0" w:rsidRDefault="002D6B17" w:rsidP="002D6B17">
            <w:pPr>
              <w:pStyle w:val="Normal3"/>
              <w:shd w:val="clear" w:color="auto" w:fill="FFFFFF"/>
              <w:spacing w:before="120" w:beforeAutospacing="0" w:after="0" w:afterAutospacing="0"/>
              <w:rPr>
                <w:color w:val="000000"/>
                <w:sz w:val="18"/>
                <w:szCs w:val="18"/>
              </w:rPr>
            </w:pPr>
            <w:r w:rsidRPr="005C26D0">
              <w:rPr>
                <w:color w:val="000000"/>
                <w:sz w:val="18"/>
                <w:szCs w:val="18"/>
              </w:rPr>
              <w:t>unde:</w:t>
            </w:r>
          </w:p>
          <w:p w14:paraId="7DAE8502" w14:textId="77777777" w:rsidR="002D6B17" w:rsidRPr="005C26D0" w:rsidRDefault="002D6B17" w:rsidP="002D6B17">
            <w:pPr>
              <w:shd w:val="clear" w:color="auto" w:fill="FFFFFF"/>
              <w:rPr>
                <w:color w:val="000000"/>
                <w:sz w:val="18"/>
                <w:szCs w:val="18"/>
                <w:lang w:val="en-US"/>
              </w:rPr>
            </w:pPr>
            <w:r w:rsidRPr="005C26D0">
              <w:rPr>
                <w:rStyle w:val="italics"/>
                <w:i/>
                <w:iCs/>
                <w:color w:val="000000"/>
                <w:sz w:val="18"/>
                <w:szCs w:val="18"/>
                <w:lang w:val="en-US"/>
              </w:rPr>
              <w:t>i =</w:t>
            </w:r>
            <w:r w:rsidRPr="005C26D0">
              <w:rPr>
                <w:color w:val="000000"/>
                <w:sz w:val="18"/>
                <w:szCs w:val="18"/>
                <w:lang w:val="en-US"/>
              </w:rPr>
              <w:t> </w:t>
            </w:r>
            <w:proofErr w:type="spellStart"/>
            <w:r w:rsidRPr="005C26D0">
              <w:rPr>
                <w:color w:val="000000"/>
                <w:sz w:val="18"/>
                <w:szCs w:val="18"/>
                <w:lang w:val="en-US"/>
              </w:rPr>
              <w:t>indicele</w:t>
            </w:r>
            <w:proofErr w:type="spellEnd"/>
            <w:r w:rsidRPr="005C26D0">
              <w:rPr>
                <w:color w:val="000000"/>
                <w:sz w:val="18"/>
                <w:szCs w:val="18"/>
                <w:lang w:val="en-US"/>
              </w:rPr>
              <w:t xml:space="preserve"> care </w:t>
            </w:r>
            <w:proofErr w:type="spellStart"/>
            <w:r w:rsidRPr="005C26D0">
              <w:rPr>
                <w:color w:val="000000"/>
                <w:sz w:val="18"/>
                <w:szCs w:val="18"/>
                <w:lang w:val="en-US"/>
              </w:rPr>
              <w:t>desemnează</w:t>
            </w:r>
            <w:proofErr w:type="spellEnd"/>
            <w:r w:rsidRPr="005C26D0">
              <w:rPr>
                <w:color w:val="000000"/>
                <w:sz w:val="18"/>
                <w:szCs w:val="18"/>
                <w:lang w:val="en-US"/>
              </w:rPr>
              <w:t xml:space="preserve"> </w:t>
            </w:r>
            <w:proofErr w:type="spellStart"/>
            <w:r w:rsidRPr="005C26D0">
              <w:rPr>
                <w:color w:val="000000"/>
                <w:sz w:val="18"/>
                <w:szCs w:val="18"/>
                <w:lang w:val="en-US"/>
              </w:rPr>
              <w:t>categoriile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articolul</w:t>
            </w:r>
            <w:proofErr w:type="spellEnd"/>
            <w:r w:rsidRPr="005C26D0">
              <w:rPr>
                <w:color w:val="000000"/>
                <w:sz w:val="18"/>
                <w:szCs w:val="18"/>
                <w:lang w:val="en-US"/>
              </w:rPr>
              <w:t xml:space="preserve"> 277 </w:t>
            </w:r>
            <w:proofErr w:type="spellStart"/>
            <w:r w:rsidRPr="005C26D0">
              <w:rPr>
                <w:color w:val="000000"/>
                <w:sz w:val="18"/>
                <w:szCs w:val="18"/>
                <w:lang w:val="en-US"/>
              </w:rPr>
              <w:t>alineatul</w:t>
            </w:r>
            <w:proofErr w:type="spellEnd"/>
            <w:r w:rsidRPr="005C26D0">
              <w:rPr>
                <w:color w:val="000000"/>
                <w:sz w:val="18"/>
                <w:szCs w:val="18"/>
                <w:lang w:val="en-US"/>
              </w:rPr>
              <w:t xml:space="preserve"> (1) din </w:t>
            </w:r>
            <w:proofErr w:type="spellStart"/>
            <w:r w:rsidRPr="005C26D0">
              <w:rPr>
                <w:color w:val="000000"/>
                <w:sz w:val="18"/>
                <w:szCs w:val="18"/>
                <w:lang w:val="en-US"/>
              </w:rPr>
              <w:t>Regulamentul</w:t>
            </w:r>
            <w:proofErr w:type="spellEnd"/>
            <w:r w:rsidRPr="005C26D0">
              <w:rPr>
                <w:color w:val="000000"/>
                <w:sz w:val="18"/>
                <w:szCs w:val="18"/>
                <w:lang w:val="en-US"/>
              </w:rPr>
              <w:t xml:space="preserve"> (UE) nr. 575/2013, </w:t>
            </w:r>
            <w:proofErr w:type="spellStart"/>
            <w:r w:rsidRPr="005C26D0">
              <w:rPr>
                <w:color w:val="000000"/>
                <w:sz w:val="18"/>
                <w:szCs w:val="18"/>
                <w:lang w:val="en-US"/>
              </w:rPr>
              <w:t>ierarhizate</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litera</w:t>
            </w:r>
            <w:proofErr w:type="spellEnd"/>
            <w:r w:rsidRPr="005C26D0">
              <w:rPr>
                <w:color w:val="000000"/>
                <w:sz w:val="18"/>
                <w:szCs w:val="18"/>
                <w:lang w:val="en-US"/>
              </w:rPr>
              <w:t xml:space="preserve"> (d) </w:t>
            </w:r>
            <w:proofErr w:type="spellStart"/>
            <w:r w:rsidRPr="005C26D0">
              <w:rPr>
                <w:color w:val="000000"/>
                <w:sz w:val="18"/>
                <w:szCs w:val="18"/>
                <w:lang w:val="en-US"/>
              </w:rPr>
              <w:t>și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ordinea</w:t>
            </w:r>
            <w:proofErr w:type="spellEnd"/>
            <w:r w:rsidRPr="005C26D0">
              <w:rPr>
                <w:color w:val="000000"/>
                <w:sz w:val="18"/>
                <w:szCs w:val="18"/>
                <w:lang w:val="en-US"/>
              </w:rPr>
              <w:t xml:space="preserve"> care </w:t>
            </w:r>
            <w:proofErr w:type="spellStart"/>
            <w:r w:rsidRPr="005C26D0">
              <w:rPr>
                <w:color w:val="000000"/>
                <w:sz w:val="18"/>
                <w:szCs w:val="18"/>
                <w:lang w:val="en-US"/>
              </w:rPr>
              <w:t>rezultă</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urma</w:t>
            </w:r>
            <w:proofErr w:type="spellEnd"/>
            <w:r w:rsidRPr="005C26D0">
              <w:rPr>
                <w:color w:val="000000"/>
                <w:sz w:val="18"/>
                <w:szCs w:val="18"/>
                <w:lang w:val="en-US"/>
              </w:rPr>
              <w:t xml:space="preserve"> </w:t>
            </w:r>
            <w:proofErr w:type="spellStart"/>
            <w:r w:rsidRPr="005C26D0">
              <w:rPr>
                <w:color w:val="000000"/>
                <w:sz w:val="18"/>
                <w:szCs w:val="18"/>
                <w:lang w:val="en-US"/>
              </w:rPr>
              <w:t>ierarhizării</w:t>
            </w:r>
            <w:proofErr w:type="spellEnd"/>
            <w:r w:rsidRPr="005C26D0">
              <w:rPr>
                <w:color w:val="000000"/>
                <w:sz w:val="18"/>
                <w:szCs w:val="18"/>
                <w:lang w:val="en-US"/>
              </w:rPr>
              <w:t xml:space="preserve"> </w:t>
            </w:r>
            <w:proofErr w:type="gramStart"/>
            <w:r w:rsidRPr="005C26D0">
              <w:rPr>
                <w:color w:val="000000"/>
                <w:sz w:val="18"/>
                <w:szCs w:val="18"/>
                <w:lang w:val="en-US"/>
              </w:rPr>
              <w:t>respective;</w:t>
            </w:r>
            <w:proofErr w:type="gramEnd"/>
          </w:p>
          <w:p w14:paraId="2B3189A0" w14:textId="77777777" w:rsidR="002D6B17" w:rsidRPr="005C26D0" w:rsidRDefault="002D6B17" w:rsidP="002D6B17">
            <w:pPr>
              <w:shd w:val="clear" w:color="auto" w:fill="FFFFFF"/>
              <w:rPr>
                <w:color w:val="000000"/>
                <w:sz w:val="18"/>
                <w:szCs w:val="18"/>
                <w:lang w:val="en-US"/>
              </w:rPr>
            </w:pPr>
            <w:r w:rsidRPr="005C26D0">
              <w:rPr>
                <w:rStyle w:val="italics"/>
                <w:i/>
                <w:iCs/>
                <w:color w:val="000000"/>
                <w:sz w:val="18"/>
                <w:szCs w:val="18"/>
                <w:lang w:val="en-US"/>
              </w:rPr>
              <w:t>Y</w:t>
            </w:r>
            <w:r w:rsidRPr="005C26D0">
              <w:rPr>
                <w:color w:val="000000"/>
                <w:sz w:val="18"/>
                <w:szCs w:val="18"/>
                <w:lang w:val="en-US"/>
              </w:rPr>
              <w:t xml:space="preserve"> % = </w:t>
            </w:r>
            <w:proofErr w:type="gramStart"/>
            <w:r w:rsidRPr="005C26D0">
              <w:rPr>
                <w:color w:val="000000"/>
                <w:sz w:val="18"/>
                <w:szCs w:val="18"/>
                <w:lang w:val="en-US"/>
              </w:rPr>
              <w:t>60 %;</w:t>
            </w:r>
            <w:proofErr w:type="gramEnd"/>
          </w:p>
          <w:p w14:paraId="1F6A2A60" w14:textId="516D10ED" w:rsidR="002D6B17" w:rsidRPr="005C26D0" w:rsidRDefault="002D6B17" w:rsidP="002D6B17">
            <w:pPr>
              <w:shd w:val="clear" w:color="auto" w:fill="FFFFFF"/>
              <w:rPr>
                <w:color w:val="000000"/>
                <w:sz w:val="18"/>
                <w:szCs w:val="18"/>
                <w:lang w:val="en-US"/>
              </w:rPr>
            </w:pPr>
            <w:r w:rsidRPr="005C26D0">
              <w:rPr>
                <w:color w:val="000000"/>
                <w:sz w:val="18"/>
                <w:szCs w:val="18"/>
                <w:lang w:val="en-US"/>
              </w:rPr>
              <w:t>(f) </w:t>
            </w:r>
            <w:proofErr w:type="spellStart"/>
            <w:r w:rsidRPr="005C26D0">
              <w:rPr>
                <w:color w:val="000000"/>
                <w:sz w:val="18"/>
                <w:szCs w:val="18"/>
                <w:lang w:val="en-US"/>
              </w:rPr>
              <w:t>consideră</w:t>
            </w:r>
            <w:proofErr w:type="spellEnd"/>
            <w:r w:rsidRPr="005C26D0">
              <w:rPr>
                <w:color w:val="000000"/>
                <w:sz w:val="18"/>
                <w:szCs w:val="18"/>
                <w:lang w:val="en-US"/>
              </w:rPr>
              <w:t xml:space="preserve"> ca </w:t>
            </w:r>
            <w:proofErr w:type="spellStart"/>
            <w:r w:rsidRPr="005C26D0">
              <w:rPr>
                <w:color w:val="000000"/>
                <w:sz w:val="18"/>
                <w:szCs w:val="18"/>
                <w:lang w:val="en-US"/>
              </w:rPr>
              <w:t>fiind</w:t>
            </w:r>
            <w:proofErr w:type="spellEnd"/>
            <w:r w:rsidRPr="005C26D0">
              <w:rPr>
                <w:color w:val="000000"/>
                <w:sz w:val="18"/>
                <w:szCs w:val="18"/>
                <w:lang w:val="en-US"/>
              </w:rPr>
              <w:t xml:space="preserve"> </w:t>
            </w:r>
            <w:proofErr w:type="spellStart"/>
            <w:r w:rsidRPr="005C26D0">
              <w:rPr>
                <w:color w:val="000000"/>
                <w:sz w:val="18"/>
                <w:szCs w:val="18"/>
                <w:lang w:val="en-US"/>
              </w:rPr>
              <w:t>semnificativi</w:t>
            </w:r>
            <w:proofErr w:type="spellEnd"/>
            <w:r w:rsidRPr="005C26D0">
              <w:rPr>
                <w:color w:val="000000"/>
                <w:sz w:val="18"/>
                <w:szCs w:val="18"/>
                <w:lang w:val="en-US"/>
              </w:rPr>
              <w:t>:</w:t>
            </w:r>
          </w:p>
          <w:p w14:paraId="5ADD0301" w14:textId="602F240B" w:rsidR="002D6B17" w:rsidRPr="005C26D0" w:rsidRDefault="002D6B17" w:rsidP="002D6B17">
            <w:pPr>
              <w:shd w:val="clear" w:color="auto" w:fill="FFFFFF"/>
              <w:rPr>
                <w:color w:val="000000"/>
                <w:sz w:val="18"/>
                <w:szCs w:val="18"/>
                <w:lang w:val="en-US"/>
              </w:rPr>
            </w:pPr>
            <w:r w:rsidRPr="005C26D0">
              <w:rPr>
                <w:color w:val="000000"/>
                <w:sz w:val="18"/>
                <w:szCs w:val="18"/>
                <w:lang w:val="en-US"/>
              </w:rPr>
              <w:t>(i) </w:t>
            </w:r>
            <w:proofErr w:type="spellStart"/>
            <w:r w:rsidRPr="005C26D0">
              <w:rPr>
                <w:color w:val="000000"/>
                <w:sz w:val="18"/>
                <w:szCs w:val="18"/>
                <w:lang w:val="en-US"/>
              </w:rPr>
              <w:t>determinanții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w:t>
            </w:r>
            <w:proofErr w:type="spellStart"/>
            <w:r w:rsidRPr="005C26D0">
              <w:rPr>
                <w:color w:val="000000"/>
                <w:sz w:val="18"/>
                <w:szCs w:val="18"/>
                <w:lang w:val="en-US"/>
              </w:rPr>
              <w:t>corespund</w:t>
            </w:r>
            <w:proofErr w:type="spellEnd"/>
            <w:r w:rsidRPr="005C26D0">
              <w:rPr>
                <w:color w:val="000000"/>
                <w:sz w:val="18"/>
                <w:szCs w:val="18"/>
                <w:lang w:val="en-US"/>
              </w:rPr>
              <w:t xml:space="preserve"> </w:t>
            </w:r>
            <w:proofErr w:type="spellStart"/>
            <w:r w:rsidRPr="005C26D0">
              <w:rPr>
                <w:color w:val="000000"/>
                <w:sz w:val="18"/>
                <w:szCs w:val="18"/>
                <w:lang w:val="en-US"/>
              </w:rPr>
              <w:t>categoriilor</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care </w:t>
            </w:r>
            <w:proofErr w:type="spellStart"/>
            <w:r w:rsidRPr="005C26D0">
              <w:rPr>
                <w:color w:val="000000"/>
                <w:sz w:val="18"/>
                <w:szCs w:val="18"/>
                <w:lang w:val="en-US"/>
              </w:rPr>
              <w:t>este</w:t>
            </w:r>
            <w:proofErr w:type="spellEnd"/>
            <w:r w:rsidRPr="005C26D0">
              <w:rPr>
                <w:color w:val="000000"/>
                <w:sz w:val="18"/>
                <w:szCs w:val="18"/>
                <w:lang w:val="en-US"/>
              </w:rPr>
              <w:t xml:space="preserve"> </w:t>
            </w:r>
            <w:proofErr w:type="spellStart"/>
            <w:r w:rsidRPr="005C26D0">
              <w:rPr>
                <w:color w:val="000000"/>
                <w:sz w:val="18"/>
                <w:szCs w:val="18"/>
                <w:lang w:val="en-US"/>
              </w:rPr>
              <w:t>îndeplinită</w:t>
            </w:r>
            <w:proofErr w:type="spellEnd"/>
            <w:r w:rsidRPr="005C26D0">
              <w:rPr>
                <w:color w:val="000000"/>
                <w:sz w:val="18"/>
                <w:szCs w:val="18"/>
                <w:lang w:val="en-US"/>
              </w:rPr>
              <w:t xml:space="preserve"> </w:t>
            </w:r>
            <w:proofErr w:type="spellStart"/>
            <w:r w:rsidRPr="005C26D0">
              <w:rPr>
                <w:color w:val="000000"/>
                <w:sz w:val="18"/>
                <w:szCs w:val="18"/>
                <w:lang w:val="en-US"/>
              </w:rPr>
              <w:t>condiția</w:t>
            </w:r>
            <w:proofErr w:type="spellEnd"/>
            <w:r w:rsidRPr="005C26D0">
              <w:rPr>
                <w:color w:val="000000"/>
                <w:sz w:val="18"/>
                <w:szCs w:val="18"/>
                <w:lang w:val="en-US"/>
              </w:rPr>
              <w:t xml:space="preserve"> </w:t>
            </w:r>
            <w:proofErr w:type="spellStart"/>
            <w:r w:rsidRPr="005C26D0">
              <w:rPr>
                <w:color w:val="000000"/>
                <w:sz w:val="18"/>
                <w:szCs w:val="18"/>
                <w:lang w:val="en-US"/>
              </w:rPr>
              <w:t>prevăzută</w:t>
            </w:r>
            <w:proofErr w:type="spellEnd"/>
            <w:r w:rsidRPr="005C26D0">
              <w:rPr>
                <w:color w:val="000000"/>
                <w:sz w:val="18"/>
                <w:szCs w:val="18"/>
                <w:lang w:val="en-US"/>
              </w:rPr>
              <w:t xml:space="preserve"> la </w:t>
            </w:r>
            <w:proofErr w:type="spellStart"/>
            <w:r w:rsidRPr="005C26D0">
              <w:rPr>
                <w:color w:val="000000"/>
                <w:sz w:val="18"/>
                <w:szCs w:val="18"/>
                <w:lang w:val="en-US"/>
              </w:rPr>
              <w:t>litera</w:t>
            </w:r>
            <w:proofErr w:type="spellEnd"/>
            <w:r w:rsidRPr="005C26D0">
              <w:rPr>
                <w:color w:val="000000"/>
                <w:sz w:val="18"/>
                <w:szCs w:val="18"/>
                <w:lang w:val="en-US"/>
              </w:rPr>
              <w:t xml:space="preserve"> (e) de la </w:t>
            </w:r>
            <w:proofErr w:type="spellStart"/>
            <w:r w:rsidRPr="005C26D0">
              <w:rPr>
                <w:color w:val="000000"/>
                <w:sz w:val="18"/>
                <w:szCs w:val="18"/>
                <w:lang w:val="en-US"/>
              </w:rPr>
              <w:t>prezentul</w:t>
            </w:r>
            <w:proofErr w:type="spellEnd"/>
            <w:r w:rsidRPr="005C26D0">
              <w:rPr>
                <w:color w:val="000000"/>
                <w:sz w:val="18"/>
                <w:szCs w:val="18"/>
                <w:lang w:val="en-US"/>
              </w:rPr>
              <w:t xml:space="preserve"> </w:t>
            </w:r>
            <w:proofErr w:type="spellStart"/>
            <w:proofErr w:type="gramStart"/>
            <w:r w:rsidRPr="005C26D0">
              <w:rPr>
                <w:color w:val="000000"/>
                <w:sz w:val="18"/>
                <w:szCs w:val="18"/>
                <w:lang w:val="en-US"/>
              </w:rPr>
              <w:t>alineat</w:t>
            </w:r>
            <w:proofErr w:type="spellEnd"/>
            <w:r w:rsidRPr="005C26D0">
              <w:rPr>
                <w:color w:val="000000"/>
                <w:sz w:val="18"/>
                <w:szCs w:val="18"/>
                <w:lang w:val="en-US"/>
              </w:rPr>
              <w:t>;</w:t>
            </w:r>
            <w:proofErr w:type="gramEnd"/>
          </w:p>
          <w:p w14:paraId="1DAB6AA2" w14:textId="7C734685" w:rsidR="002D6B17" w:rsidRPr="005C26D0" w:rsidRDefault="002D6B17" w:rsidP="002D6B17">
            <w:pPr>
              <w:shd w:val="clear" w:color="auto" w:fill="FFFFFF"/>
              <w:rPr>
                <w:color w:val="000000"/>
                <w:sz w:val="18"/>
                <w:szCs w:val="18"/>
                <w:lang w:val="en-US"/>
              </w:rPr>
            </w:pPr>
            <w:r w:rsidRPr="005C26D0">
              <w:rPr>
                <w:color w:val="000000"/>
                <w:sz w:val="18"/>
                <w:szCs w:val="18"/>
                <w:lang w:val="en-US"/>
              </w:rPr>
              <w:t>(ii)</w:t>
            </w:r>
            <w:r>
              <w:rPr>
                <w:color w:val="000000"/>
                <w:sz w:val="18"/>
                <w:szCs w:val="18"/>
                <w:lang w:val="en-US"/>
              </w:rPr>
              <w:t xml:space="preserve"> </w:t>
            </w:r>
            <w:proofErr w:type="spellStart"/>
            <w:r w:rsidRPr="005C26D0">
              <w:rPr>
                <w:color w:val="000000"/>
                <w:sz w:val="18"/>
                <w:szCs w:val="18"/>
                <w:lang w:val="en-US"/>
              </w:rPr>
              <w:t>determinanții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w:t>
            </w:r>
            <w:proofErr w:type="spellStart"/>
            <w:r w:rsidRPr="005C26D0">
              <w:rPr>
                <w:color w:val="000000"/>
                <w:sz w:val="18"/>
                <w:szCs w:val="18"/>
                <w:lang w:val="en-US"/>
              </w:rPr>
              <w:t>corespund</w:t>
            </w:r>
            <w:proofErr w:type="spellEnd"/>
            <w:r w:rsidRPr="005C26D0">
              <w:rPr>
                <w:color w:val="000000"/>
                <w:sz w:val="18"/>
                <w:szCs w:val="18"/>
                <w:lang w:val="en-US"/>
              </w:rPr>
              <w:t xml:space="preserve"> </w:t>
            </w:r>
            <w:proofErr w:type="spellStart"/>
            <w:r w:rsidRPr="005C26D0">
              <w:rPr>
                <w:color w:val="000000"/>
                <w:sz w:val="18"/>
                <w:szCs w:val="18"/>
                <w:lang w:val="en-US"/>
              </w:rPr>
              <w:t>primei</w:t>
            </w:r>
            <w:proofErr w:type="spellEnd"/>
            <w:r w:rsidRPr="005C26D0">
              <w:rPr>
                <w:color w:val="000000"/>
                <w:sz w:val="18"/>
                <w:szCs w:val="18"/>
                <w:lang w:val="en-US"/>
              </w:rPr>
              <w:t xml:space="preserve"> </w:t>
            </w:r>
            <w:proofErr w:type="spellStart"/>
            <w:r w:rsidRPr="005C26D0">
              <w:rPr>
                <w:color w:val="000000"/>
                <w:sz w:val="18"/>
                <w:szCs w:val="18"/>
                <w:lang w:val="en-US"/>
              </w:rPr>
              <w:t>categorii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care </w:t>
            </w:r>
            <w:proofErr w:type="spellStart"/>
            <w:r w:rsidRPr="005C26D0">
              <w:rPr>
                <w:color w:val="000000"/>
                <w:sz w:val="18"/>
                <w:szCs w:val="18"/>
                <w:lang w:val="en-US"/>
              </w:rPr>
              <w:t>condiția</w:t>
            </w:r>
            <w:proofErr w:type="spellEnd"/>
            <w:r w:rsidRPr="005C26D0">
              <w:rPr>
                <w:color w:val="000000"/>
                <w:sz w:val="18"/>
                <w:szCs w:val="18"/>
                <w:lang w:val="en-US"/>
              </w:rPr>
              <w:t xml:space="preserve"> </w:t>
            </w:r>
            <w:proofErr w:type="spellStart"/>
            <w:r w:rsidRPr="005C26D0">
              <w:rPr>
                <w:color w:val="000000"/>
                <w:sz w:val="18"/>
                <w:szCs w:val="18"/>
                <w:lang w:val="en-US"/>
              </w:rPr>
              <w:t>respectivă</w:t>
            </w:r>
            <w:proofErr w:type="spellEnd"/>
            <w:r w:rsidRPr="005C26D0">
              <w:rPr>
                <w:color w:val="000000"/>
                <w:sz w:val="18"/>
                <w:szCs w:val="18"/>
                <w:lang w:val="en-US"/>
              </w:rPr>
              <w:t xml:space="preserve"> nu </w:t>
            </w:r>
            <w:proofErr w:type="spellStart"/>
            <w:r w:rsidRPr="005C26D0">
              <w:rPr>
                <w:color w:val="000000"/>
                <w:sz w:val="18"/>
                <w:szCs w:val="18"/>
                <w:lang w:val="en-US"/>
              </w:rPr>
              <w:t>este</w:t>
            </w:r>
            <w:proofErr w:type="spellEnd"/>
            <w:r w:rsidRPr="005C26D0">
              <w:rPr>
                <w:color w:val="000000"/>
                <w:sz w:val="18"/>
                <w:szCs w:val="18"/>
                <w:lang w:val="en-US"/>
              </w:rPr>
              <w:t xml:space="preserve"> </w:t>
            </w:r>
            <w:proofErr w:type="spellStart"/>
            <w:proofErr w:type="gramStart"/>
            <w:r w:rsidRPr="005C26D0">
              <w:rPr>
                <w:color w:val="000000"/>
                <w:sz w:val="18"/>
                <w:szCs w:val="18"/>
                <w:lang w:val="en-US"/>
              </w:rPr>
              <w:t>îndeplinită</w:t>
            </w:r>
            <w:proofErr w:type="spellEnd"/>
            <w:r w:rsidRPr="005C26D0">
              <w:rPr>
                <w:color w:val="000000"/>
                <w:sz w:val="18"/>
                <w:szCs w:val="18"/>
                <w:lang w:val="en-US"/>
              </w:rPr>
              <w:t>;</w:t>
            </w:r>
            <w:proofErr w:type="gramEnd"/>
          </w:p>
          <w:p w14:paraId="64EC63A2" w14:textId="6D6552ED" w:rsidR="002D6B17" w:rsidRPr="005C26D0" w:rsidRDefault="002D6B17" w:rsidP="002D6B17">
            <w:pPr>
              <w:shd w:val="clear" w:color="auto" w:fill="FFFFFF"/>
              <w:rPr>
                <w:color w:val="000000"/>
                <w:sz w:val="18"/>
                <w:szCs w:val="18"/>
                <w:lang w:val="en-US"/>
              </w:rPr>
            </w:pPr>
            <w:r w:rsidRPr="005C26D0">
              <w:rPr>
                <w:color w:val="000000"/>
                <w:sz w:val="18"/>
                <w:szCs w:val="18"/>
                <w:lang w:val="en-US"/>
              </w:rPr>
              <w:t>(g) </w:t>
            </w:r>
            <w:proofErr w:type="spellStart"/>
            <w:r w:rsidRPr="005C26D0">
              <w:rPr>
                <w:color w:val="000000"/>
                <w:sz w:val="18"/>
                <w:szCs w:val="18"/>
                <w:lang w:val="en-US"/>
              </w:rPr>
              <w:t>verifică</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fiecare</w:t>
            </w:r>
            <w:proofErr w:type="spellEnd"/>
            <w:r w:rsidRPr="005C26D0">
              <w:rPr>
                <w:color w:val="000000"/>
                <w:sz w:val="18"/>
                <w:szCs w:val="18"/>
                <w:lang w:val="en-US"/>
              </w:rPr>
              <w:t xml:space="preserve"> </w:t>
            </w:r>
            <w:proofErr w:type="spellStart"/>
            <w:r w:rsidRPr="005C26D0">
              <w:rPr>
                <w:color w:val="000000"/>
                <w:sz w:val="18"/>
                <w:szCs w:val="18"/>
                <w:lang w:val="en-US"/>
              </w:rPr>
              <w:t>dintre</w:t>
            </w:r>
            <w:proofErr w:type="spellEnd"/>
            <w:r w:rsidRPr="005C26D0">
              <w:rPr>
                <w:color w:val="000000"/>
                <w:sz w:val="18"/>
                <w:szCs w:val="18"/>
                <w:lang w:val="en-US"/>
              </w:rPr>
              <w:t xml:space="preserve"> </w:t>
            </w:r>
            <w:proofErr w:type="spellStart"/>
            <w:r w:rsidRPr="005C26D0">
              <w:rPr>
                <w:color w:val="000000"/>
                <w:sz w:val="18"/>
                <w:szCs w:val="18"/>
                <w:lang w:val="en-US"/>
              </w:rPr>
              <w:t>categoriile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w:t>
            </w:r>
            <w:proofErr w:type="spellStart"/>
            <w:r w:rsidRPr="005C26D0">
              <w:rPr>
                <w:color w:val="000000"/>
                <w:sz w:val="18"/>
                <w:szCs w:val="18"/>
                <w:lang w:val="en-US"/>
              </w:rPr>
              <w:t>corespund</w:t>
            </w:r>
            <w:proofErr w:type="spellEnd"/>
            <w:r w:rsidRPr="005C26D0">
              <w:rPr>
                <w:color w:val="000000"/>
                <w:sz w:val="18"/>
                <w:szCs w:val="18"/>
                <w:lang w:val="en-US"/>
              </w:rPr>
              <w:t xml:space="preserve"> </w:t>
            </w:r>
            <w:proofErr w:type="spellStart"/>
            <w:r w:rsidRPr="005C26D0">
              <w:rPr>
                <w:color w:val="000000"/>
                <w:sz w:val="18"/>
                <w:szCs w:val="18"/>
                <w:lang w:val="en-US"/>
              </w:rPr>
              <w:t>determinanților</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nu sunt </w:t>
            </w:r>
            <w:proofErr w:type="spellStart"/>
            <w:r w:rsidRPr="005C26D0">
              <w:rPr>
                <w:color w:val="000000"/>
                <w:sz w:val="18"/>
                <w:szCs w:val="18"/>
                <w:lang w:val="en-US"/>
              </w:rPr>
              <w:t>semnificativi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litera</w:t>
            </w:r>
            <w:proofErr w:type="spellEnd"/>
            <w:r w:rsidRPr="005C26D0">
              <w:rPr>
                <w:color w:val="000000"/>
                <w:sz w:val="18"/>
                <w:szCs w:val="18"/>
                <w:lang w:val="en-US"/>
              </w:rPr>
              <w:t xml:space="preserve"> (f), </w:t>
            </w:r>
            <w:proofErr w:type="spellStart"/>
            <w:r w:rsidRPr="005C26D0">
              <w:rPr>
                <w:color w:val="000000"/>
                <w:sz w:val="18"/>
                <w:szCs w:val="18"/>
                <w:lang w:val="en-US"/>
              </w:rPr>
              <w:t>dacă</w:t>
            </w:r>
            <w:proofErr w:type="spellEnd"/>
            <w:r w:rsidRPr="005C26D0">
              <w:rPr>
                <w:color w:val="000000"/>
                <w:sz w:val="18"/>
                <w:szCs w:val="18"/>
                <w:lang w:val="en-US"/>
              </w:rPr>
              <w:t xml:space="preserve"> </w:t>
            </w:r>
            <w:proofErr w:type="spellStart"/>
            <w:r w:rsidRPr="005C26D0">
              <w:rPr>
                <w:color w:val="000000"/>
                <w:sz w:val="18"/>
                <w:szCs w:val="18"/>
                <w:lang w:val="en-US"/>
              </w:rPr>
              <w:t>termenul</w:t>
            </w:r>
            <w:proofErr w:type="spellEnd"/>
            <w:r w:rsidRPr="005C26D0">
              <w:rPr>
                <w:color w:val="000000"/>
                <w:sz w:val="18"/>
                <w:szCs w:val="18"/>
                <w:lang w:val="en-US"/>
              </w:rPr>
              <w:t> </w:t>
            </w:r>
            <w:r w:rsidRPr="005C26D0">
              <w:rPr>
                <w:rStyle w:val="italics"/>
                <w:i/>
                <w:iCs/>
                <w:color w:val="000000"/>
                <w:sz w:val="18"/>
                <w:szCs w:val="18"/>
                <w:lang w:val="en-US"/>
              </w:rPr>
              <w:t>a</w:t>
            </w:r>
            <w:r w:rsidRPr="005C26D0">
              <w:rPr>
                <w:rStyle w:val="subscript"/>
                <w:i/>
                <w:iCs/>
                <w:color w:val="000000"/>
                <w:sz w:val="18"/>
                <w:szCs w:val="18"/>
                <w:vertAlign w:val="subscript"/>
                <w:lang w:val="en-US"/>
              </w:rPr>
              <w:t>i</w:t>
            </w:r>
            <w:r w:rsidRPr="005C26D0">
              <w:rPr>
                <w:rStyle w:val="italics"/>
                <w:i/>
                <w:iCs/>
                <w:color w:val="000000"/>
                <w:sz w:val="18"/>
                <w:szCs w:val="18"/>
                <w:lang w:val="en-US"/>
              </w:rPr>
              <w:t> </w:t>
            </w:r>
            <w:proofErr w:type="spellStart"/>
            <w:r w:rsidRPr="005C26D0">
              <w:rPr>
                <w:color w:val="000000"/>
                <w:sz w:val="18"/>
                <w:szCs w:val="18"/>
                <w:lang w:val="en-US"/>
              </w:rPr>
              <w:t>corespunzător</w:t>
            </w:r>
            <w:proofErr w:type="spellEnd"/>
            <w:r w:rsidRPr="005C26D0">
              <w:rPr>
                <w:color w:val="000000"/>
                <w:sz w:val="18"/>
                <w:szCs w:val="18"/>
                <w:lang w:val="en-US"/>
              </w:rPr>
              <w:t xml:space="preserve"> </w:t>
            </w:r>
            <w:proofErr w:type="spellStart"/>
            <w:r w:rsidRPr="005C26D0">
              <w:rPr>
                <w:color w:val="000000"/>
                <w:sz w:val="18"/>
                <w:szCs w:val="18"/>
                <w:lang w:val="en-US"/>
              </w:rPr>
              <w:t>îndeplinește</w:t>
            </w:r>
            <w:proofErr w:type="spellEnd"/>
            <w:r w:rsidRPr="005C26D0">
              <w:rPr>
                <w:color w:val="000000"/>
                <w:sz w:val="18"/>
                <w:szCs w:val="18"/>
                <w:lang w:val="en-US"/>
              </w:rPr>
              <w:t xml:space="preserve"> </w:t>
            </w:r>
            <w:proofErr w:type="spellStart"/>
            <w:r w:rsidRPr="005C26D0">
              <w:rPr>
                <w:color w:val="000000"/>
                <w:sz w:val="18"/>
                <w:szCs w:val="18"/>
                <w:lang w:val="en-US"/>
              </w:rPr>
              <w:t>următoarea</w:t>
            </w:r>
            <w:proofErr w:type="spellEnd"/>
            <w:r w:rsidRPr="005C26D0">
              <w:rPr>
                <w:color w:val="000000"/>
                <w:sz w:val="18"/>
                <w:szCs w:val="18"/>
                <w:lang w:val="en-US"/>
              </w:rPr>
              <w:t xml:space="preserve"> </w:t>
            </w:r>
            <w:proofErr w:type="spellStart"/>
            <w:r w:rsidRPr="005C26D0">
              <w:rPr>
                <w:color w:val="000000"/>
                <w:sz w:val="18"/>
                <w:szCs w:val="18"/>
                <w:lang w:val="en-US"/>
              </w:rPr>
              <w:t>condiție</w:t>
            </w:r>
            <w:proofErr w:type="spellEnd"/>
            <w:r w:rsidRPr="005C26D0">
              <w:rPr>
                <w:color w:val="000000"/>
                <w:sz w:val="18"/>
                <w:szCs w:val="18"/>
                <w:lang w:val="en-US"/>
              </w:rPr>
              <w:t>:</w:t>
            </w:r>
          </w:p>
          <w:p w14:paraId="5BB720D5" w14:textId="70982060" w:rsidR="002D6B17" w:rsidRPr="005C26D0" w:rsidRDefault="002D6B17" w:rsidP="002D6B17">
            <w:pPr>
              <w:pStyle w:val="List2"/>
              <w:shd w:val="clear" w:color="auto" w:fill="FFFFFF"/>
              <w:spacing w:before="120" w:beforeAutospacing="0" w:after="150" w:afterAutospacing="0"/>
              <w:jc w:val="both"/>
              <w:rPr>
                <w:color w:val="000000"/>
                <w:sz w:val="18"/>
                <w:szCs w:val="18"/>
              </w:rPr>
            </w:pPr>
            <w:r w:rsidRPr="005C26D0">
              <w:rPr>
                <w:noProof/>
                <w:color w:val="000000"/>
                <w:sz w:val="18"/>
                <w:szCs w:val="18"/>
              </w:rPr>
              <w:drawing>
                <wp:inline distT="0" distB="0" distL="0" distR="0" wp14:anchorId="6B0B242C" wp14:editId="3C49963A">
                  <wp:extent cx="1169670" cy="414655"/>
                  <wp:effectExtent l="0" t="0" r="0" b="444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9670" cy="414655"/>
                          </a:xfrm>
                          <a:prstGeom prst="rect">
                            <a:avLst/>
                          </a:prstGeom>
                          <a:noFill/>
                          <a:ln>
                            <a:noFill/>
                          </a:ln>
                        </pic:spPr>
                      </pic:pic>
                    </a:graphicData>
                  </a:graphic>
                </wp:inline>
              </w:drawing>
            </w:r>
          </w:p>
          <w:p w14:paraId="1B736333" w14:textId="77777777" w:rsidR="002D6B17" w:rsidRPr="005C26D0" w:rsidRDefault="002D6B17" w:rsidP="002D6B17">
            <w:pPr>
              <w:pStyle w:val="Normal3"/>
              <w:shd w:val="clear" w:color="auto" w:fill="FFFFFF"/>
              <w:spacing w:before="120" w:beforeAutospacing="0" w:after="0" w:afterAutospacing="0"/>
              <w:jc w:val="both"/>
              <w:rPr>
                <w:color w:val="000000"/>
                <w:sz w:val="18"/>
                <w:szCs w:val="18"/>
              </w:rPr>
            </w:pPr>
            <w:r w:rsidRPr="005C26D0">
              <w:rPr>
                <w:color w:val="000000"/>
                <w:sz w:val="18"/>
                <w:szCs w:val="18"/>
              </w:rPr>
              <w:t>unde:</w:t>
            </w:r>
          </w:p>
          <w:p w14:paraId="34B14A82" w14:textId="77777777" w:rsidR="002D6B17" w:rsidRPr="005C26D0" w:rsidRDefault="002D6B17" w:rsidP="002D6B17">
            <w:pPr>
              <w:shd w:val="clear" w:color="auto" w:fill="FFFFFF"/>
              <w:rPr>
                <w:color w:val="000000"/>
                <w:sz w:val="18"/>
                <w:szCs w:val="18"/>
                <w:lang w:val="en-US"/>
              </w:rPr>
            </w:pPr>
            <w:r w:rsidRPr="005C26D0">
              <w:rPr>
                <w:rStyle w:val="italics"/>
                <w:i/>
                <w:iCs/>
                <w:color w:val="000000"/>
                <w:sz w:val="18"/>
                <w:szCs w:val="18"/>
                <w:lang w:val="en-US"/>
              </w:rPr>
              <w:t>i =</w:t>
            </w:r>
            <w:r w:rsidRPr="005C26D0">
              <w:rPr>
                <w:color w:val="000000"/>
                <w:sz w:val="18"/>
                <w:szCs w:val="18"/>
                <w:lang w:val="en-US"/>
              </w:rPr>
              <w:t> </w:t>
            </w:r>
            <w:proofErr w:type="spellStart"/>
            <w:r w:rsidRPr="005C26D0">
              <w:rPr>
                <w:color w:val="000000"/>
                <w:sz w:val="18"/>
                <w:szCs w:val="18"/>
                <w:lang w:val="en-US"/>
              </w:rPr>
              <w:t>indicele</w:t>
            </w:r>
            <w:proofErr w:type="spellEnd"/>
            <w:r w:rsidRPr="005C26D0">
              <w:rPr>
                <w:color w:val="000000"/>
                <w:sz w:val="18"/>
                <w:szCs w:val="18"/>
                <w:lang w:val="en-US"/>
              </w:rPr>
              <w:t xml:space="preserve"> care </w:t>
            </w:r>
            <w:proofErr w:type="spellStart"/>
            <w:r w:rsidRPr="005C26D0">
              <w:rPr>
                <w:color w:val="000000"/>
                <w:sz w:val="18"/>
                <w:szCs w:val="18"/>
                <w:lang w:val="en-US"/>
              </w:rPr>
              <w:t>desemnează</w:t>
            </w:r>
            <w:proofErr w:type="spellEnd"/>
            <w:r w:rsidRPr="005C26D0">
              <w:rPr>
                <w:color w:val="000000"/>
                <w:sz w:val="18"/>
                <w:szCs w:val="18"/>
                <w:lang w:val="en-US"/>
              </w:rPr>
              <w:t xml:space="preserve"> </w:t>
            </w:r>
            <w:proofErr w:type="spellStart"/>
            <w:r w:rsidRPr="005C26D0">
              <w:rPr>
                <w:color w:val="000000"/>
                <w:sz w:val="18"/>
                <w:szCs w:val="18"/>
                <w:lang w:val="en-US"/>
              </w:rPr>
              <w:t>categoriile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articolul</w:t>
            </w:r>
            <w:proofErr w:type="spellEnd"/>
            <w:r w:rsidRPr="005C26D0">
              <w:rPr>
                <w:color w:val="000000"/>
                <w:sz w:val="18"/>
                <w:szCs w:val="18"/>
                <w:lang w:val="en-US"/>
              </w:rPr>
              <w:t xml:space="preserve"> 277 </w:t>
            </w:r>
            <w:proofErr w:type="spellStart"/>
            <w:r w:rsidRPr="005C26D0">
              <w:rPr>
                <w:color w:val="000000"/>
                <w:sz w:val="18"/>
                <w:szCs w:val="18"/>
                <w:lang w:val="en-US"/>
              </w:rPr>
              <w:t>alineatul</w:t>
            </w:r>
            <w:proofErr w:type="spellEnd"/>
            <w:r w:rsidRPr="005C26D0">
              <w:rPr>
                <w:color w:val="000000"/>
                <w:sz w:val="18"/>
                <w:szCs w:val="18"/>
                <w:lang w:val="en-US"/>
              </w:rPr>
              <w:t xml:space="preserve"> (1) din </w:t>
            </w:r>
            <w:proofErr w:type="spellStart"/>
            <w:r w:rsidRPr="005C26D0">
              <w:rPr>
                <w:color w:val="000000"/>
                <w:sz w:val="18"/>
                <w:szCs w:val="18"/>
                <w:lang w:val="en-US"/>
              </w:rPr>
              <w:lastRenderedPageBreak/>
              <w:t>Regulamentul</w:t>
            </w:r>
            <w:proofErr w:type="spellEnd"/>
            <w:r w:rsidRPr="005C26D0">
              <w:rPr>
                <w:color w:val="000000"/>
                <w:sz w:val="18"/>
                <w:szCs w:val="18"/>
                <w:lang w:val="en-US"/>
              </w:rPr>
              <w:t xml:space="preserve"> (UE) nr. 575/2013, </w:t>
            </w:r>
            <w:proofErr w:type="spellStart"/>
            <w:r w:rsidRPr="005C26D0">
              <w:rPr>
                <w:color w:val="000000"/>
                <w:sz w:val="18"/>
                <w:szCs w:val="18"/>
                <w:lang w:val="en-US"/>
              </w:rPr>
              <w:t>ierarhizate</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litera</w:t>
            </w:r>
            <w:proofErr w:type="spellEnd"/>
            <w:r w:rsidRPr="005C26D0">
              <w:rPr>
                <w:color w:val="000000"/>
                <w:sz w:val="18"/>
                <w:szCs w:val="18"/>
                <w:lang w:val="en-US"/>
              </w:rPr>
              <w:t xml:space="preserve"> (d) </w:t>
            </w:r>
            <w:proofErr w:type="spellStart"/>
            <w:r w:rsidRPr="005C26D0">
              <w:rPr>
                <w:color w:val="000000"/>
                <w:sz w:val="18"/>
                <w:szCs w:val="18"/>
                <w:lang w:val="en-US"/>
              </w:rPr>
              <w:t>și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ordinea</w:t>
            </w:r>
            <w:proofErr w:type="spellEnd"/>
            <w:r w:rsidRPr="005C26D0">
              <w:rPr>
                <w:color w:val="000000"/>
                <w:sz w:val="18"/>
                <w:szCs w:val="18"/>
                <w:lang w:val="en-US"/>
              </w:rPr>
              <w:t xml:space="preserve"> care </w:t>
            </w:r>
            <w:proofErr w:type="spellStart"/>
            <w:r w:rsidRPr="005C26D0">
              <w:rPr>
                <w:color w:val="000000"/>
                <w:sz w:val="18"/>
                <w:szCs w:val="18"/>
                <w:lang w:val="en-US"/>
              </w:rPr>
              <w:t>rezultă</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urma</w:t>
            </w:r>
            <w:proofErr w:type="spellEnd"/>
            <w:r w:rsidRPr="005C26D0">
              <w:rPr>
                <w:color w:val="000000"/>
                <w:sz w:val="18"/>
                <w:szCs w:val="18"/>
                <w:lang w:val="en-US"/>
              </w:rPr>
              <w:t xml:space="preserve"> </w:t>
            </w:r>
            <w:proofErr w:type="spellStart"/>
            <w:r w:rsidRPr="005C26D0">
              <w:rPr>
                <w:color w:val="000000"/>
                <w:sz w:val="18"/>
                <w:szCs w:val="18"/>
                <w:lang w:val="en-US"/>
              </w:rPr>
              <w:t>ierarhizării</w:t>
            </w:r>
            <w:proofErr w:type="spellEnd"/>
            <w:r w:rsidRPr="005C26D0">
              <w:rPr>
                <w:color w:val="000000"/>
                <w:sz w:val="18"/>
                <w:szCs w:val="18"/>
                <w:lang w:val="en-US"/>
              </w:rPr>
              <w:t xml:space="preserve"> respective </w:t>
            </w:r>
            <w:proofErr w:type="spellStart"/>
            <w:r w:rsidRPr="005C26D0">
              <w:rPr>
                <w:color w:val="000000"/>
                <w:sz w:val="18"/>
                <w:szCs w:val="18"/>
                <w:lang w:val="en-US"/>
              </w:rPr>
              <w:t>și</w:t>
            </w:r>
            <w:proofErr w:type="spellEnd"/>
            <w:r w:rsidRPr="005C26D0">
              <w:rPr>
                <w:color w:val="000000"/>
                <w:sz w:val="18"/>
                <w:szCs w:val="18"/>
                <w:lang w:val="en-US"/>
              </w:rPr>
              <w:t xml:space="preserve"> care </w:t>
            </w:r>
            <w:proofErr w:type="spellStart"/>
            <w:r w:rsidRPr="005C26D0">
              <w:rPr>
                <w:color w:val="000000"/>
                <w:sz w:val="18"/>
                <w:szCs w:val="18"/>
                <w:lang w:val="en-US"/>
              </w:rPr>
              <w:t>corespund</w:t>
            </w:r>
            <w:proofErr w:type="spellEnd"/>
            <w:r w:rsidRPr="005C26D0">
              <w:rPr>
                <w:color w:val="000000"/>
                <w:sz w:val="18"/>
                <w:szCs w:val="18"/>
                <w:lang w:val="en-US"/>
              </w:rPr>
              <w:t xml:space="preserve"> </w:t>
            </w:r>
            <w:proofErr w:type="spellStart"/>
            <w:r w:rsidRPr="005C26D0">
              <w:rPr>
                <w:color w:val="000000"/>
                <w:sz w:val="18"/>
                <w:szCs w:val="18"/>
                <w:lang w:val="en-US"/>
              </w:rPr>
              <w:t>determinanților</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nu sunt </w:t>
            </w:r>
            <w:proofErr w:type="spellStart"/>
            <w:r w:rsidRPr="005C26D0">
              <w:rPr>
                <w:color w:val="000000"/>
                <w:sz w:val="18"/>
                <w:szCs w:val="18"/>
                <w:lang w:val="en-US"/>
              </w:rPr>
              <w:t>semnificativi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litera</w:t>
            </w:r>
            <w:proofErr w:type="spellEnd"/>
            <w:r w:rsidRPr="005C26D0">
              <w:rPr>
                <w:color w:val="000000"/>
                <w:sz w:val="18"/>
                <w:szCs w:val="18"/>
                <w:lang w:val="en-US"/>
              </w:rPr>
              <w:t xml:space="preserve"> (f</w:t>
            </w:r>
            <w:proofErr w:type="gramStart"/>
            <w:r w:rsidRPr="005C26D0">
              <w:rPr>
                <w:color w:val="000000"/>
                <w:sz w:val="18"/>
                <w:szCs w:val="18"/>
                <w:lang w:val="en-US"/>
              </w:rPr>
              <w:t>);</w:t>
            </w:r>
            <w:proofErr w:type="gramEnd"/>
          </w:p>
          <w:p w14:paraId="108432CC" w14:textId="77777777" w:rsidR="002D6B17" w:rsidRPr="005C26D0" w:rsidRDefault="002D6B17" w:rsidP="002D6B17">
            <w:pPr>
              <w:shd w:val="clear" w:color="auto" w:fill="FFFFFF"/>
              <w:rPr>
                <w:color w:val="000000"/>
                <w:sz w:val="18"/>
                <w:szCs w:val="18"/>
                <w:lang w:val="en-US"/>
              </w:rPr>
            </w:pPr>
            <w:r w:rsidRPr="005C26D0">
              <w:rPr>
                <w:rStyle w:val="italics"/>
                <w:i/>
                <w:iCs/>
                <w:color w:val="000000"/>
                <w:sz w:val="18"/>
                <w:szCs w:val="18"/>
                <w:lang w:val="en-US"/>
              </w:rPr>
              <w:t>Z</w:t>
            </w:r>
            <w:r w:rsidRPr="005C26D0">
              <w:rPr>
                <w:color w:val="000000"/>
                <w:sz w:val="18"/>
                <w:szCs w:val="18"/>
                <w:lang w:val="en-US"/>
              </w:rPr>
              <w:t xml:space="preserve"> % = </w:t>
            </w:r>
            <w:proofErr w:type="gramStart"/>
            <w:r w:rsidRPr="005C26D0">
              <w:rPr>
                <w:color w:val="000000"/>
                <w:sz w:val="18"/>
                <w:szCs w:val="18"/>
                <w:lang w:val="en-US"/>
              </w:rPr>
              <w:t>30 %;</w:t>
            </w:r>
            <w:proofErr w:type="gramEnd"/>
          </w:p>
          <w:p w14:paraId="474CC274" w14:textId="632B3C9D" w:rsidR="002D6B17" w:rsidRPr="005C26D0" w:rsidRDefault="002D6B17" w:rsidP="002D6B17">
            <w:pPr>
              <w:shd w:val="clear" w:color="auto" w:fill="FFFFFF"/>
              <w:rPr>
                <w:color w:val="000000"/>
                <w:sz w:val="18"/>
                <w:szCs w:val="18"/>
                <w:lang w:val="en-US"/>
              </w:rPr>
            </w:pPr>
            <w:r w:rsidRPr="005C26D0">
              <w:rPr>
                <w:color w:val="000000"/>
                <w:sz w:val="18"/>
                <w:szCs w:val="18"/>
                <w:lang w:val="en-US"/>
              </w:rPr>
              <w:t>(h) </w:t>
            </w:r>
            <w:proofErr w:type="spellStart"/>
            <w:r w:rsidRPr="005C26D0">
              <w:rPr>
                <w:color w:val="000000"/>
                <w:sz w:val="18"/>
                <w:szCs w:val="18"/>
                <w:lang w:val="en-US"/>
              </w:rPr>
              <w:t>în</w:t>
            </w:r>
            <w:proofErr w:type="spellEnd"/>
            <w:r w:rsidRPr="005C26D0">
              <w:rPr>
                <w:color w:val="000000"/>
                <w:sz w:val="18"/>
                <w:szCs w:val="18"/>
                <w:lang w:val="en-US"/>
              </w:rPr>
              <w:t xml:space="preserve"> plus </w:t>
            </w:r>
            <w:proofErr w:type="spellStart"/>
            <w:r w:rsidRPr="005C26D0">
              <w:rPr>
                <w:color w:val="000000"/>
                <w:sz w:val="18"/>
                <w:szCs w:val="18"/>
                <w:lang w:val="en-US"/>
              </w:rPr>
              <w:t>față</w:t>
            </w:r>
            <w:proofErr w:type="spellEnd"/>
            <w:r w:rsidRPr="005C26D0">
              <w:rPr>
                <w:color w:val="000000"/>
                <w:sz w:val="18"/>
                <w:szCs w:val="18"/>
                <w:lang w:val="en-US"/>
              </w:rPr>
              <w:t xml:space="preserve"> de </w:t>
            </w:r>
            <w:proofErr w:type="spellStart"/>
            <w:r w:rsidRPr="005C26D0">
              <w:rPr>
                <w:color w:val="000000"/>
                <w:sz w:val="18"/>
                <w:szCs w:val="18"/>
                <w:lang w:val="en-US"/>
              </w:rPr>
              <w:t>determinanții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semnificativi</w:t>
            </w:r>
            <w:proofErr w:type="spellEnd"/>
            <w:r w:rsidRPr="005C26D0">
              <w:rPr>
                <w:color w:val="000000"/>
                <w:sz w:val="18"/>
                <w:szCs w:val="18"/>
                <w:lang w:val="en-US"/>
              </w:rPr>
              <w:t xml:space="preserve"> </w:t>
            </w:r>
            <w:proofErr w:type="spellStart"/>
            <w:r w:rsidRPr="005C26D0">
              <w:rPr>
                <w:color w:val="000000"/>
                <w:sz w:val="18"/>
                <w:szCs w:val="18"/>
                <w:lang w:val="en-US"/>
              </w:rPr>
              <w:t>identificați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litera</w:t>
            </w:r>
            <w:proofErr w:type="spellEnd"/>
            <w:r w:rsidRPr="005C26D0">
              <w:rPr>
                <w:color w:val="000000"/>
                <w:sz w:val="18"/>
                <w:szCs w:val="18"/>
                <w:lang w:val="en-US"/>
              </w:rPr>
              <w:t xml:space="preserve"> (f), </w:t>
            </w:r>
            <w:proofErr w:type="spellStart"/>
            <w:r w:rsidRPr="005C26D0">
              <w:rPr>
                <w:color w:val="000000"/>
                <w:sz w:val="18"/>
                <w:szCs w:val="18"/>
                <w:lang w:val="en-US"/>
              </w:rPr>
              <w:t>consideră</w:t>
            </w:r>
            <w:proofErr w:type="spellEnd"/>
            <w:r w:rsidRPr="005C26D0">
              <w:rPr>
                <w:color w:val="000000"/>
                <w:sz w:val="18"/>
                <w:szCs w:val="18"/>
                <w:lang w:val="en-US"/>
              </w:rPr>
              <w:t xml:space="preserve"> </w:t>
            </w:r>
            <w:proofErr w:type="spellStart"/>
            <w:r w:rsidRPr="005C26D0">
              <w:rPr>
                <w:color w:val="000000"/>
                <w:sz w:val="18"/>
                <w:szCs w:val="18"/>
                <w:lang w:val="en-US"/>
              </w:rPr>
              <w:t>că</w:t>
            </w:r>
            <w:proofErr w:type="spellEnd"/>
            <w:r w:rsidRPr="005C26D0">
              <w:rPr>
                <w:color w:val="000000"/>
                <w:sz w:val="18"/>
                <w:szCs w:val="18"/>
                <w:lang w:val="en-US"/>
              </w:rPr>
              <w:t xml:space="preserve"> sunt </w:t>
            </w:r>
            <w:proofErr w:type="spellStart"/>
            <w:r w:rsidRPr="005C26D0">
              <w:rPr>
                <w:color w:val="000000"/>
                <w:sz w:val="18"/>
                <w:szCs w:val="18"/>
                <w:lang w:val="en-US"/>
              </w:rPr>
              <w:t>determinanți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semnificativi</w:t>
            </w:r>
            <w:proofErr w:type="spellEnd"/>
            <w:r w:rsidRPr="005C26D0">
              <w:rPr>
                <w:color w:val="000000"/>
                <w:sz w:val="18"/>
                <w:szCs w:val="18"/>
                <w:lang w:val="en-US"/>
              </w:rPr>
              <w:t xml:space="preserve"> </w:t>
            </w:r>
            <w:proofErr w:type="spellStart"/>
            <w:r w:rsidRPr="005C26D0">
              <w:rPr>
                <w:color w:val="000000"/>
                <w:sz w:val="18"/>
                <w:szCs w:val="18"/>
                <w:lang w:val="en-US"/>
              </w:rPr>
              <w:t>și</w:t>
            </w:r>
            <w:proofErr w:type="spellEnd"/>
            <w:r w:rsidRPr="005C26D0">
              <w:rPr>
                <w:color w:val="000000"/>
                <w:sz w:val="18"/>
                <w:szCs w:val="18"/>
                <w:lang w:val="en-US"/>
              </w:rPr>
              <w:t xml:space="preserve"> </w:t>
            </w:r>
            <w:proofErr w:type="spellStart"/>
            <w:r w:rsidRPr="005C26D0">
              <w:rPr>
                <w:color w:val="000000"/>
                <w:sz w:val="18"/>
                <w:szCs w:val="18"/>
                <w:lang w:val="en-US"/>
              </w:rPr>
              <w:t>determinanții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w:t>
            </w:r>
            <w:proofErr w:type="spellStart"/>
            <w:r w:rsidRPr="005C26D0">
              <w:rPr>
                <w:color w:val="000000"/>
                <w:sz w:val="18"/>
                <w:szCs w:val="18"/>
                <w:lang w:val="en-US"/>
              </w:rPr>
              <w:t>corespund</w:t>
            </w:r>
            <w:proofErr w:type="spellEnd"/>
            <w:r w:rsidRPr="005C26D0">
              <w:rPr>
                <w:color w:val="000000"/>
                <w:sz w:val="18"/>
                <w:szCs w:val="18"/>
                <w:lang w:val="en-US"/>
              </w:rPr>
              <w:t xml:space="preserve"> </w:t>
            </w:r>
            <w:proofErr w:type="spellStart"/>
            <w:r w:rsidRPr="005C26D0">
              <w:rPr>
                <w:color w:val="000000"/>
                <w:sz w:val="18"/>
                <w:szCs w:val="18"/>
                <w:lang w:val="en-US"/>
              </w:rPr>
              <w:t>categoriilor</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care </w:t>
            </w:r>
            <w:proofErr w:type="spellStart"/>
            <w:r w:rsidRPr="005C26D0">
              <w:rPr>
                <w:color w:val="000000"/>
                <w:sz w:val="18"/>
                <w:szCs w:val="18"/>
                <w:lang w:val="en-US"/>
              </w:rPr>
              <w:t>este</w:t>
            </w:r>
            <w:proofErr w:type="spellEnd"/>
            <w:r w:rsidRPr="005C26D0">
              <w:rPr>
                <w:color w:val="000000"/>
                <w:sz w:val="18"/>
                <w:szCs w:val="18"/>
                <w:lang w:val="en-US"/>
              </w:rPr>
              <w:t xml:space="preserve"> </w:t>
            </w:r>
            <w:proofErr w:type="spellStart"/>
            <w:r w:rsidRPr="005C26D0">
              <w:rPr>
                <w:color w:val="000000"/>
                <w:sz w:val="18"/>
                <w:szCs w:val="18"/>
                <w:lang w:val="en-US"/>
              </w:rPr>
              <w:t>îndeplinită</w:t>
            </w:r>
            <w:proofErr w:type="spellEnd"/>
            <w:r w:rsidRPr="005C26D0">
              <w:rPr>
                <w:color w:val="000000"/>
                <w:sz w:val="18"/>
                <w:szCs w:val="18"/>
                <w:lang w:val="en-US"/>
              </w:rPr>
              <w:t xml:space="preserve"> </w:t>
            </w:r>
            <w:proofErr w:type="spellStart"/>
            <w:r w:rsidRPr="005C26D0">
              <w:rPr>
                <w:color w:val="000000"/>
                <w:sz w:val="18"/>
                <w:szCs w:val="18"/>
                <w:lang w:val="en-US"/>
              </w:rPr>
              <w:t>condiția</w:t>
            </w:r>
            <w:proofErr w:type="spellEnd"/>
            <w:r w:rsidRPr="005C26D0">
              <w:rPr>
                <w:color w:val="000000"/>
                <w:sz w:val="18"/>
                <w:szCs w:val="18"/>
                <w:lang w:val="en-US"/>
              </w:rPr>
              <w:t xml:space="preserve"> </w:t>
            </w:r>
            <w:proofErr w:type="spellStart"/>
            <w:r w:rsidRPr="005C26D0">
              <w:rPr>
                <w:color w:val="000000"/>
                <w:sz w:val="18"/>
                <w:szCs w:val="18"/>
                <w:lang w:val="en-US"/>
              </w:rPr>
              <w:t>prevăzută</w:t>
            </w:r>
            <w:proofErr w:type="spellEnd"/>
            <w:r w:rsidRPr="005C26D0">
              <w:rPr>
                <w:color w:val="000000"/>
                <w:sz w:val="18"/>
                <w:szCs w:val="18"/>
                <w:lang w:val="en-US"/>
              </w:rPr>
              <w:t xml:space="preserve"> la </w:t>
            </w:r>
            <w:proofErr w:type="spellStart"/>
            <w:r w:rsidRPr="005C26D0">
              <w:rPr>
                <w:color w:val="000000"/>
                <w:sz w:val="18"/>
                <w:szCs w:val="18"/>
                <w:lang w:val="en-US"/>
              </w:rPr>
              <w:t>litera</w:t>
            </w:r>
            <w:proofErr w:type="spellEnd"/>
            <w:r w:rsidRPr="005C26D0">
              <w:rPr>
                <w:color w:val="000000"/>
                <w:sz w:val="18"/>
                <w:szCs w:val="18"/>
                <w:lang w:val="en-US"/>
              </w:rPr>
              <w:t xml:space="preserve"> (g</w:t>
            </w:r>
            <w:proofErr w:type="gramStart"/>
            <w:r w:rsidRPr="005C26D0">
              <w:rPr>
                <w:color w:val="000000"/>
                <w:sz w:val="18"/>
                <w:szCs w:val="18"/>
                <w:lang w:val="en-US"/>
              </w:rPr>
              <w:t>);</w:t>
            </w:r>
            <w:proofErr w:type="gramEnd"/>
          </w:p>
          <w:p w14:paraId="5FFC8613" w14:textId="07A8079D" w:rsidR="002D6B17" w:rsidRPr="005C26D0" w:rsidRDefault="002D6B17" w:rsidP="002D6B17">
            <w:pPr>
              <w:shd w:val="clear" w:color="auto" w:fill="FFFFFF"/>
              <w:rPr>
                <w:color w:val="000000"/>
                <w:sz w:val="18"/>
                <w:szCs w:val="18"/>
                <w:lang w:val="en-US"/>
              </w:rPr>
            </w:pPr>
            <w:r w:rsidRPr="005C26D0">
              <w:rPr>
                <w:color w:val="000000"/>
                <w:sz w:val="18"/>
                <w:szCs w:val="18"/>
                <w:lang w:val="en-US"/>
              </w:rPr>
              <w:t>(i)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fiecare</w:t>
            </w:r>
            <w:proofErr w:type="spellEnd"/>
            <w:r w:rsidRPr="005C26D0">
              <w:rPr>
                <w:color w:val="000000"/>
                <w:sz w:val="18"/>
                <w:szCs w:val="18"/>
                <w:lang w:val="en-US"/>
              </w:rPr>
              <w:t xml:space="preserve"> </w:t>
            </w:r>
            <w:proofErr w:type="spellStart"/>
            <w:r w:rsidRPr="005C26D0">
              <w:rPr>
                <w:color w:val="000000"/>
                <w:sz w:val="18"/>
                <w:szCs w:val="18"/>
                <w:lang w:val="en-US"/>
              </w:rPr>
              <w:t>dintre</w:t>
            </w:r>
            <w:proofErr w:type="spellEnd"/>
            <w:r w:rsidRPr="005C26D0">
              <w:rPr>
                <w:color w:val="000000"/>
                <w:sz w:val="18"/>
                <w:szCs w:val="18"/>
                <w:lang w:val="en-US"/>
              </w:rPr>
              <w:t xml:space="preserve"> </w:t>
            </w:r>
            <w:proofErr w:type="spellStart"/>
            <w:r w:rsidRPr="005C26D0">
              <w:rPr>
                <w:color w:val="000000"/>
                <w:sz w:val="18"/>
                <w:szCs w:val="18"/>
                <w:lang w:val="en-US"/>
              </w:rPr>
              <w:t>categoriile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literele</w:t>
            </w:r>
            <w:proofErr w:type="spellEnd"/>
            <w:r w:rsidRPr="005C26D0">
              <w:rPr>
                <w:color w:val="000000"/>
                <w:sz w:val="18"/>
                <w:szCs w:val="18"/>
                <w:lang w:val="en-US"/>
              </w:rPr>
              <w:t xml:space="preserve"> (f) </w:t>
            </w:r>
            <w:proofErr w:type="spellStart"/>
            <w:r w:rsidRPr="005C26D0">
              <w:rPr>
                <w:color w:val="000000"/>
                <w:sz w:val="18"/>
                <w:szCs w:val="18"/>
                <w:lang w:val="en-US"/>
              </w:rPr>
              <w:t>și</w:t>
            </w:r>
            <w:proofErr w:type="spellEnd"/>
            <w:r w:rsidRPr="005C26D0">
              <w:rPr>
                <w:color w:val="000000"/>
                <w:sz w:val="18"/>
                <w:szCs w:val="18"/>
                <w:lang w:val="en-US"/>
              </w:rPr>
              <w:t xml:space="preserve"> (h), </w:t>
            </w:r>
            <w:proofErr w:type="spellStart"/>
            <w:r w:rsidRPr="005C26D0">
              <w:rPr>
                <w:color w:val="000000"/>
                <w:sz w:val="18"/>
                <w:szCs w:val="18"/>
                <w:lang w:val="en-US"/>
              </w:rPr>
              <w:t>consideră</w:t>
            </w:r>
            <w:proofErr w:type="spellEnd"/>
            <w:r w:rsidRPr="005C26D0">
              <w:rPr>
                <w:color w:val="000000"/>
                <w:sz w:val="18"/>
                <w:szCs w:val="18"/>
                <w:lang w:val="en-US"/>
              </w:rPr>
              <w:t xml:space="preserve"> </w:t>
            </w:r>
            <w:proofErr w:type="spellStart"/>
            <w:r w:rsidRPr="005C26D0">
              <w:rPr>
                <w:color w:val="000000"/>
                <w:sz w:val="18"/>
                <w:szCs w:val="18"/>
                <w:lang w:val="en-US"/>
              </w:rPr>
              <w:t>că</w:t>
            </w:r>
            <w:proofErr w:type="spellEnd"/>
            <w:r w:rsidRPr="005C26D0">
              <w:rPr>
                <w:color w:val="000000"/>
                <w:sz w:val="18"/>
                <w:szCs w:val="18"/>
                <w:lang w:val="en-US"/>
              </w:rPr>
              <w:t xml:space="preserve"> cel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semnificativ</w:t>
            </w:r>
            <w:proofErr w:type="spellEnd"/>
            <w:r w:rsidRPr="005C26D0">
              <w:rPr>
                <w:color w:val="000000"/>
                <w:sz w:val="18"/>
                <w:szCs w:val="18"/>
                <w:lang w:val="en-US"/>
              </w:rPr>
              <w:t xml:space="preserve"> determinant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categoria</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respectivă</w:t>
            </w:r>
            <w:proofErr w:type="spellEnd"/>
            <w:r w:rsidRPr="005C26D0">
              <w:rPr>
                <w:color w:val="000000"/>
                <w:sz w:val="18"/>
                <w:szCs w:val="18"/>
                <w:lang w:val="en-US"/>
              </w:rPr>
              <w:t xml:space="preserve"> </w:t>
            </w:r>
            <w:proofErr w:type="spellStart"/>
            <w:r w:rsidRPr="005C26D0">
              <w:rPr>
                <w:color w:val="000000"/>
                <w:sz w:val="18"/>
                <w:szCs w:val="18"/>
                <w:lang w:val="en-US"/>
              </w:rPr>
              <w:t>este</w:t>
            </w:r>
            <w:proofErr w:type="spellEnd"/>
            <w:r w:rsidRPr="005C26D0">
              <w:rPr>
                <w:color w:val="000000"/>
                <w:sz w:val="18"/>
                <w:szCs w:val="18"/>
                <w:lang w:val="en-US"/>
              </w:rPr>
              <w:t xml:space="preserve"> </w:t>
            </w:r>
            <w:proofErr w:type="spellStart"/>
            <w:r w:rsidRPr="005C26D0">
              <w:rPr>
                <w:color w:val="000000"/>
                <w:sz w:val="18"/>
                <w:szCs w:val="18"/>
                <w:lang w:val="en-US"/>
              </w:rPr>
              <w:t>determinantul</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care </w:t>
            </w:r>
            <w:proofErr w:type="spellStart"/>
            <w:r w:rsidRPr="005C26D0">
              <w:rPr>
                <w:color w:val="000000"/>
                <w:sz w:val="18"/>
                <w:szCs w:val="18"/>
                <w:lang w:val="en-US"/>
              </w:rPr>
              <w:t>corespunde</w:t>
            </w:r>
            <w:proofErr w:type="spellEnd"/>
            <w:r w:rsidRPr="005C26D0">
              <w:rPr>
                <w:color w:val="000000"/>
                <w:sz w:val="18"/>
                <w:szCs w:val="18"/>
                <w:lang w:val="en-US"/>
              </w:rPr>
              <w:t xml:space="preserve"> </w:t>
            </w:r>
            <w:proofErr w:type="spellStart"/>
            <w:r w:rsidRPr="005C26D0">
              <w:rPr>
                <w:color w:val="000000"/>
                <w:sz w:val="18"/>
                <w:szCs w:val="18"/>
                <w:lang w:val="en-US"/>
              </w:rPr>
              <w:t>celei</w:t>
            </w:r>
            <w:proofErr w:type="spellEnd"/>
            <w:r w:rsidRPr="005C26D0">
              <w:rPr>
                <w:color w:val="000000"/>
                <w:sz w:val="18"/>
                <w:szCs w:val="18"/>
                <w:lang w:val="en-US"/>
              </w:rPr>
              <w:t xml:space="preserve">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mari</w:t>
            </w:r>
            <w:proofErr w:type="spellEnd"/>
            <w:r w:rsidRPr="005C26D0">
              <w:rPr>
                <w:color w:val="000000"/>
                <w:sz w:val="18"/>
                <w:szCs w:val="18"/>
                <w:lang w:val="en-US"/>
              </w:rPr>
              <w:t xml:space="preserve"> </w:t>
            </w:r>
            <w:proofErr w:type="spellStart"/>
            <w:r w:rsidRPr="005C26D0">
              <w:rPr>
                <w:color w:val="000000"/>
                <w:sz w:val="18"/>
                <w:szCs w:val="18"/>
                <w:lang w:val="en-US"/>
              </w:rPr>
              <w:t>valori</w:t>
            </w:r>
            <w:proofErr w:type="spellEnd"/>
            <w:r w:rsidRPr="005C26D0">
              <w:rPr>
                <w:color w:val="000000"/>
                <w:sz w:val="18"/>
                <w:szCs w:val="18"/>
                <w:lang w:val="en-US"/>
              </w:rPr>
              <w:t xml:space="preserve"> absolute a </w:t>
            </w:r>
            <w:proofErr w:type="spellStart"/>
            <w:r w:rsidRPr="005C26D0">
              <w:rPr>
                <w:color w:val="000000"/>
                <w:sz w:val="18"/>
                <w:szCs w:val="18"/>
                <w:lang w:val="en-US"/>
              </w:rPr>
              <w:t>sensibilităților</w:t>
            </w:r>
            <w:proofErr w:type="spellEnd"/>
            <w:r w:rsidRPr="005C26D0">
              <w:rPr>
                <w:color w:val="000000"/>
                <w:sz w:val="18"/>
                <w:szCs w:val="18"/>
                <w:lang w:val="en-US"/>
              </w:rPr>
              <w:t xml:space="preserve"> </w:t>
            </w:r>
            <w:proofErr w:type="spellStart"/>
            <w:r w:rsidRPr="005C26D0">
              <w:rPr>
                <w:color w:val="000000"/>
                <w:sz w:val="18"/>
                <w:szCs w:val="18"/>
                <w:lang w:val="en-US"/>
              </w:rPr>
              <w:t>ponderate</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litera</w:t>
            </w:r>
            <w:proofErr w:type="spellEnd"/>
            <w:r w:rsidRPr="005C26D0">
              <w:rPr>
                <w:color w:val="000000"/>
                <w:sz w:val="18"/>
                <w:szCs w:val="18"/>
                <w:lang w:val="en-US"/>
              </w:rPr>
              <w:t xml:space="preserve"> (b).</w:t>
            </w:r>
          </w:p>
          <w:p w14:paraId="0CC97030" w14:textId="4C331A88" w:rsidR="002D6B17" w:rsidRPr="005C26D0" w:rsidRDefault="002D6B17" w:rsidP="002D6B17">
            <w:pPr>
              <w:shd w:val="clear" w:color="auto" w:fill="FFFFFF"/>
              <w:rPr>
                <w:color w:val="000000"/>
                <w:sz w:val="18"/>
                <w:szCs w:val="18"/>
                <w:lang w:val="en-US"/>
              </w:rPr>
            </w:pPr>
            <w:r>
              <w:rPr>
                <w:rStyle w:val="no-parag"/>
                <w:color w:val="000000"/>
                <w:sz w:val="18"/>
                <w:szCs w:val="18"/>
                <w:lang w:val="en-US"/>
              </w:rPr>
              <w:t>(</w:t>
            </w:r>
            <w:r w:rsidRPr="005C26D0">
              <w:rPr>
                <w:rStyle w:val="no-parag"/>
                <w:color w:val="000000"/>
                <w:sz w:val="18"/>
                <w:szCs w:val="18"/>
                <w:lang w:val="en-US"/>
              </w:rPr>
              <w:t>4</w:t>
            </w:r>
            <w:r>
              <w:rPr>
                <w:rStyle w:val="no-parag"/>
                <w:color w:val="000000"/>
                <w:sz w:val="18"/>
                <w:szCs w:val="18"/>
                <w:lang w:val="en-US"/>
              </w:rPr>
              <w:t>)</w:t>
            </w:r>
            <w:r w:rsidRPr="005C26D0">
              <w:rPr>
                <w:rStyle w:val="no-parag"/>
                <w:color w:val="000000"/>
                <w:sz w:val="18"/>
                <w:szCs w:val="18"/>
                <w:lang w:val="en-US"/>
              </w:rPr>
              <w:t> </w:t>
            </w:r>
            <w:proofErr w:type="spellStart"/>
            <w:r w:rsidRPr="005C26D0">
              <w:rPr>
                <w:color w:val="000000"/>
                <w:sz w:val="18"/>
                <w:szCs w:val="18"/>
                <w:lang w:val="en-US"/>
              </w:rPr>
              <w:t>Instituțiile</w:t>
            </w:r>
            <w:proofErr w:type="spellEnd"/>
            <w:r w:rsidRPr="005C26D0">
              <w:rPr>
                <w:color w:val="000000"/>
                <w:sz w:val="18"/>
                <w:szCs w:val="18"/>
                <w:lang w:val="en-US"/>
              </w:rPr>
              <w:t xml:space="preserve"> care fie </w:t>
            </w:r>
            <w:proofErr w:type="spellStart"/>
            <w:r w:rsidRPr="005C26D0">
              <w:rPr>
                <w:color w:val="000000"/>
                <w:sz w:val="18"/>
                <w:szCs w:val="18"/>
                <w:lang w:val="en-US"/>
              </w:rPr>
              <w:t>îndeplinesc</w:t>
            </w:r>
            <w:proofErr w:type="spellEnd"/>
            <w:r w:rsidRPr="005C26D0">
              <w:rPr>
                <w:color w:val="000000"/>
                <w:sz w:val="18"/>
                <w:szCs w:val="18"/>
                <w:lang w:val="en-US"/>
              </w:rPr>
              <w:t xml:space="preserve"> </w:t>
            </w:r>
            <w:proofErr w:type="spellStart"/>
            <w:r w:rsidRPr="005C26D0">
              <w:rPr>
                <w:color w:val="000000"/>
                <w:sz w:val="18"/>
                <w:szCs w:val="18"/>
                <w:lang w:val="en-US"/>
              </w:rPr>
              <w:t>condițiile</w:t>
            </w:r>
            <w:proofErr w:type="spellEnd"/>
            <w:r w:rsidRPr="005C26D0">
              <w:rPr>
                <w:color w:val="000000"/>
                <w:sz w:val="18"/>
                <w:szCs w:val="18"/>
                <w:lang w:val="en-US"/>
              </w:rPr>
              <w:t xml:space="preserve"> </w:t>
            </w:r>
            <w:proofErr w:type="spellStart"/>
            <w:r w:rsidRPr="005C26D0">
              <w:rPr>
                <w:color w:val="000000"/>
                <w:sz w:val="18"/>
                <w:szCs w:val="18"/>
                <w:lang w:val="en-US"/>
              </w:rPr>
              <w:t>prevăzute</w:t>
            </w:r>
            <w:proofErr w:type="spellEnd"/>
            <w:r w:rsidRPr="005C26D0">
              <w:rPr>
                <w:color w:val="000000"/>
                <w:sz w:val="18"/>
                <w:szCs w:val="18"/>
                <w:lang w:val="en-US"/>
              </w:rPr>
              <w:t xml:space="preserve"> la </w:t>
            </w:r>
            <w:proofErr w:type="spellStart"/>
            <w:r w:rsidRPr="005C26D0">
              <w:rPr>
                <w:color w:val="000000"/>
                <w:sz w:val="18"/>
                <w:szCs w:val="18"/>
                <w:lang w:val="en-US"/>
              </w:rPr>
              <w:t>articolul</w:t>
            </w:r>
            <w:proofErr w:type="spellEnd"/>
            <w:r w:rsidRPr="005C26D0">
              <w:rPr>
                <w:color w:val="000000"/>
                <w:sz w:val="18"/>
                <w:szCs w:val="18"/>
                <w:lang w:val="en-US"/>
              </w:rPr>
              <w:t xml:space="preserve"> 94 </w:t>
            </w:r>
            <w:proofErr w:type="spellStart"/>
            <w:r w:rsidRPr="005C26D0">
              <w:rPr>
                <w:color w:val="000000"/>
                <w:sz w:val="18"/>
                <w:szCs w:val="18"/>
                <w:lang w:val="en-US"/>
              </w:rPr>
              <w:t>alineatul</w:t>
            </w:r>
            <w:proofErr w:type="spellEnd"/>
            <w:r w:rsidRPr="005C26D0">
              <w:rPr>
                <w:color w:val="000000"/>
                <w:sz w:val="18"/>
                <w:szCs w:val="18"/>
                <w:lang w:val="en-US"/>
              </w:rPr>
              <w:t xml:space="preserve"> (1) din </w:t>
            </w:r>
            <w:proofErr w:type="spellStart"/>
            <w:r w:rsidRPr="005C26D0">
              <w:rPr>
                <w:color w:val="000000"/>
                <w:sz w:val="18"/>
                <w:szCs w:val="18"/>
                <w:lang w:val="en-US"/>
              </w:rPr>
              <w:t>Regulamentul</w:t>
            </w:r>
            <w:proofErr w:type="spellEnd"/>
            <w:r w:rsidRPr="005C26D0">
              <w:rPr>
                <w:color w:val="000000"/>
                <w:sz w:val="18"/>
                <w:szCs w:val="18"/>
                <w:lang w:val="en-US"/>
              </w:rPr>
              <w:t xml:space="preserve"> (UE) nr. 575/2013, fie </w:t>
            </w:r>
            <w:proofErr w:type="spellStart"/>
            <w:r w:rsidRPr="005C26D0">
              <w:rPr>
                <w:color w:val="000000"/>
                <w:sz w:val="18"/>
                <w:szCs w:val="18"/>
                <w:lang w:val="en-US"/>
              </w:rPr>
              <w:t>îndeplinesc</w:t>
            </w:r>
            <w:proofErr w:type="spellEnd"/>
            <w:r w:rsidRPr="005C26D0">
              <w:rPr>
                <w:color w:val="000000"/>
                <w:sz w:val="18"/>
                <w:szCs w:val="18"/>
                <w:lang w:val="en-US"/>
              </w:rPr>
              <w:t xml:space="preserve"> </w:t>
            </w:r>
            <w:proofErr w:type="spellStart"/>
            <w:r w:rsidRPr="005C26D0">
              <w:rPr>
                <w:color w:val="000000"/>
                <w:sz w:val="18"/>
                <w:szCs w:val="18"/>
                <w:lang w:val="en-US"/>
              </w:rPr>
              <w:t>condițiile</w:t>
            </w:r>
            <w:proofErr w:type="spellEnd"/>
            <w:r w:rsidRPr="005C26D0">
              <w:rPr>
                <w:color w:val="000000"/>
                <w:sz w:val="18"/>
                <w:szCs w:val="18"/>
                <w:lang w:val="en-US"/>
              </w:rPr>
              <w:t xml:space="preserve"> </w:t>
            </w:r>
            <w:proofErr w:type="spellStart"/>
            <w:r w:rsidRPr="005C26D0">
              <w:rPr>
                <w:color w:val="000000"/>
                <w:sz w:val="18"/>
                <w:szCs w:val="18"/>
                <w:lang w:val="en-US"/>
              </w:rPr>
              <w:t>prevăzute</w:t>
            </w:r>
            <w:proofErr w:type="spellEnd"/>
            <w:r w:rsidRPr="005C26D0">
              <w:rPr>
                <w:color w:val="000000"/>
                <w:sz w:val="18"/>
                <w:szCs w:val="18"/>
                <w:lang w:val="en-US"/>
              </w:rPr>
              <w:t xml:space="preserve"> la </w:t>
            </w:r>
            <w:proofErr w:type="spellStart"/>
            <w:r w:rsidRPr="005C26D0">
              <w:rPr>
                <w:color w:val="000000"/>
                <w:sz w:val="18"/>
                <w:szCs w:val="18"/>
                <w:lang w:val="en-US"/>
              </w:rPr>
              <w:t>articolul</w:t>
            </w:r>
            <w:proofErr w:type="spellEnd"/>
            <w:r w:rsidRPr="005C26D0">
              <w:rPr>
                <w:color w:val="000000"/>
                <w:sz w:val="18"/>
                <w:szCs w:val="18"/>
                <w:lang w:val="en-US"/>
              </w:rPr>
              <w:t xml:space="preserve"> 325a </w:t>
            </w:r>
            <w:proofErr w:type="spellStart"/>
            <w:r w:rsidRPr="005C26D0">
              <w:rPr>
                <w:color w:val="000000"/>
                <w:sz w:val="18"/>
                <w:szCs w:val="18"/>
                <w:lang w:val="en-US"/>
              </w:rPr>
              <w:t>alineatul</w:t>
            </w:r>
            <w:proofErr w:type="spellEnd"/>
            <w:r w:rsidRPr="005C26D0">
              <w:rPr>
                <w:color w:val="000000"/>
                <w:sz w:val="18"/>
                <w:szCs w:val="18"/>
                <w:lang w:val="en-US"/>
              </w:rPr>
              <w:t xml:space="preserve"> (1) din </w:t>
            </w:r>
            <w:proofErr w:type="spellStart"/>
            <w:r w:rsidRPr="005C26D0">
              <w:rPr>
                <w:color w:val="000000"/>
                <w:sz w:val="18"/>
                <w:szCs w:val="18"/>
                <w:lang w:val="en-US"/>
              </w:rPr>
              <w:t>regulamentul</w:t>
            </w:r>
            <w:proofErr w:type="spellEnd"/>
            <w:r w:rsidRPr="005C26D0">
              <w:rPr>
                <w:color w:val="000000"/>
                <w:sz w:val="18"/>
                <w:szCs w:val="18"/>
                <w:lang w:val="en-US"/>
              </w:rPr>
              <w:t xml:space="preserve"> </w:t>
            </w:r>
            <w:proofErr w:type="spellStart"/>
            <w:r w:rsidRPr="005C26D0">
              <w:rPr>
                <w:color w:val="000000"/>
                <w:sz w:val="18"/>
                <w:szCs w:val="18"/>
                <w:lang w:val="en-US"/>
              </w:rPr>
              <w:t>respectiv</w:t>
            </w:r>
            <w:proofErr w:type="spellEnd"/>
            <w:r w:rsidRPr="005C26D0">
              <w:rPr>
                <w:color w:val="000000"/>
                <w:sz w:val="18"/>
                <w:szCs w:val="18"/>
                <w:lang w:val="en-US"/>
              </w:rPr>
              <w:t xml:space="preserve"> pot </w:t>
            </w:r>
            <w:proofErr w:type="spellStart"/>
            <w:r w:rsidRPr="005C26D0">
              <w:rPr>
                <w:color w:val="000000"/>
                <w:sz w:val="18"/>
                <w:szCs w:val="18"/>
                <w:lang w:val="en-US"/>
              </w:rPr>
              <w:t>identifica</w:t>
            </w:r>
            <w:proofErr w:type="spellEnd"/>
            <w:r w:rsidRPr="005C26D0">
              <w:rPr>
                <w:color w:val="000000"/>
                <w:sz w:val="18"/>
                <w:szCs w:val="18"/>
                <w:lang w:val="en-US"/>
              </w:rPr>
              <w:t xml:space="preserve"> cel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semnificativ</w:t>
            </w:r>
            <w:proofErr w:type="spellEnd"/>
            <w:r w:rsidRPr="005C26D0">
              <w:rPr>
                <w:color w:val="000000"/>
                <w:sz w:val="18"/>
                <w:szCs w:val="18"/>
                <w:lang w:val="en-US"/>
              </w:rPr>
              <w:t xml:space="preserve"> determinant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prin</w:t>
            </w:r>
            <w:proofErr w:type="spellEnd"/>
            <w:r w:rsidRPr="005C26D0">
              <w:rPr>
                <w:color w:val="000000"/>
                <w:sz w:val="18"/>
                <w:szCs w:val="18"/>
                <w:lang w:val="en-US"/>
              </w:rPr>
              <w:t xml:space="preserve"> </w:t>
            </w:r>
            <w:proofErr w:type="spellStart"/>
            <w:r w:rsidRPr="005C26D0">
              <w:rPr>
                <w:color w:val="000000"/>
                <w:sz w:val="18"/>
                <w:szCs w:val="18"/>
                <w:lang w:val="en-US"/>
              </w:rPr>
              <w:t>aplicarea</w:t>
            </w:r>
            <w:proofErr w:type="spellEnd"/>
            <w:r w:rsidRPr="005C26D0">
              <w:rPr>
                <w:color w:val="000000"/>
                <w:sz w:val="18"/>
                <w:szCs w:val="18"/>
                <w:lang w:val="en-US"/>
              </w:rPr>
              <w:t xml:space="preserve"> </w:t>
            </w:r>
            <w:proofErr w:type="spellStart"/>
            <w:r w:rsidRPr="005C26D0">
              <w:rPr>
                <w:color w:val="000000"/>
                <w:sz w:val="18"/>
                <w:szCs w:val="18"/>
                <w:lang w:val="en-US"/>
              </w:rPr>
              <w:t>următoarelor</w:t>
            </w:r>
            <w:proofErr w:type="spellEnd"/>
            <w:r w:rsidRPr="005C26D0">
              <w:rPr>
                <w:color w:val="000000"/>
                <w:sz w:val="18"/>
                <w:szCs w:val="18"/>
                <w:lang w:val="en-US"/>
              </w:rPr>
              <w:t xml:space="preserve"> </w:t>
            </w:r>
            <w:proofErr w:type="spellStart"/>
            <w:r w:rsidRPr="005C26D0">
              <w:rPr>
                <w:color w:val="000000"/>
                <w:sz w:val="18"/>
                <w:szCs w:val="18"/>
                <w:lang w:val="en-US"/>
              </w:rPr>
              <w:t>etape</w:t>
            </w:r>
            <w:proofErr w:type="spellEnd"/>
            <w:r w:rsidRPr="005C26D0">
              <w:rPr>
                <w:color w:val="000000"/>
                <w:sz w:val="18"/>
                <w:szCs w:val="18"/>
                <w:lang w:val="en-US"/>
              </w:rPr>
              <w:t xml:space="preserve"> la </w:t>
            </w:r>
            <w:proofErr w:type="spellStart"/>
            <w:r w:rsidRPr="005C26D0">
              <w:rPr>
                <w:color w:val="000000"/>
                <w:sz w:val="18"/>
                <w:szCs w:val="18"/>
                <w:lang w:val="en-US"/>
              </w:rPr>
              <w:t>inițierea</w:t>
            </w:r>
            <w:proofErr w:type="spellEnd"/>
            <w:r w:rsidRPr="005C26D0">
              <w:rPr>
                <w:color w:val="000000"/>
                <w:sz w:val="18"/>
                <w:szCs w:val="18"/>
                <w:lang w:val="en-US"/>
              </w:rPr>
              <w:t xml:space="preserve"> </w:t>
            </w:r>
            <w:proofErr w:type="spellStart"/>
            <w:r w:rsidRPr="005C26D0">
              <w:rPr>
                <w:color w:val="000000"/>
                <w:sz w:val="18"/>
                <w:szCs w:val="18"/>
                <w:lang w:val="en-US"/>
              </w:rPr>
              <w:t>tranzacției</w:t>
            </w:r>
            <w:proofErr w:type="spellEnd"/>
            <w:r w:rsidRPr="005C26D0">
              <w:rPr>
                <w:color w:val="000000"/>
                <w:sz w:val="18"/>
                <w:szCs w:val="18"/>
                <w:lang w:val="en-US"/>
              </w:rPr>
              <w:t xml:space="preserve"> </w:t>
            </w:r>
            <w:proofErr w:type="spellStart"/>
            <w:r w:rsidRPr="005C26D0">
              <w:rPr>
                <w:color w:val="000000"/>
                <w:sz w:val="18"/>
                <w:szCs w:val="18"/>
                <w:lang w:val="en-US"/>
              </w:rPr>
              <w:t>și</w:t>
            </w:r>
            <w:proofErr w:type="spellEnd"/>
            <w:r w:rsidRPr="005C26D0">
              <w:rPr>
                <w:color w:val="000000"/>
                <w:sz w:val="18"/>
                <w:szCs w:val="18"/>
                <w:lang w:val="en-US"/>
              </w:rPr>
              <w:t xml:space="preserve">, ulterior, cel </w:t>
            </w:r>
            <w:proofErr w:type="spellStart"/>
            <w:r w:rsidRPr="005C26D0">
              <w:rPr>
                <w:color w:val="000000"/>
                <w:sz w:val="18"/>
                <w:szCs w:val="18"/>
                <w:lang w:val="en-US"/>
              </w:rPr>
              <w:t>puțin</w:t>
            </w:r>
            <w:proofErr w:type="spellEnd"/>
            <w:r w:rsidRPr="005C26D0">
              <w:rPr>
                <w:color w:val="000000"/>
                <w:sz w:val="18"/>
                <w:szCs w:val="18"/>
                <w:lang w:val="en-US"/>
              </w:rPr>
              <w:t xml:space="preserve"> </w:t>
            </w:r>
            <w:proofErr w:type="spellStart"/>
            <w:r w:rsidRPr="005C26D0">
              <w:rPr>
                <w:color w:val="000000"/>
                <w:sz w:val="18"/>
                <w:szCs w:val="18"/>
                <w:lang w:val="en-US"/>
              </w:rPr>
              <w:t>trimestrial</w:t>
            </w:r>
            <w:proofErr w:type="spellEnd"/>
            <w:r w:rsidRPr="005C26D0">
              <w:rPr>
                <w:color w:val="000000"/>
                <w:sz w:val="18"/>
                <w:szCs w:val="18"/>
                <w:lang w:val="en-US"/>
              </w:rPr>
              <w:t>:</w:t>
            </w:r>
          </w:p>
          <w:p w14:paraId="30129C5A" w14:textId="16D7B232" w:rsidR="002D6B17" w:rsidRPr="00383F39" w:rsidRDefault="002D6B17" w:rsidP="002D6B17">
            <w:pPr>
              <w:shd w:val="clear" w:color="auto" w:fill="FFFFFF"/>
              <w:rPr>
                <w:color w:val="000000"/>
                <w:sz w:val="18"/>
                <w:szCs w:val="18"/>
                <w:lang w:val="en-US"/>
              </w:rPr>
            </w:pPr>
            <w:r w:rsidRPr="005C26D0">
              <w:rPr>
                <w:color w:val="000000"/>
                <w:sz w:val="18"/>
                <w:szCs w:val="18"/>
                <w:lang w:val="en-US"/>
              </w:rPr>
              <w:t>(a)</w:t>
            </w:r>
            <w:r>
              <w:rPr>
                <w:color w:val="000000"/>
                <w:sz w:val="18"/>
                <w:szCs w:val="18"/>
                <w:lang w:val="en-US"/>
              </w:rPr>
              <w:t xml:space="preserve"> </w:t>
            </w:r>
            <w:proofErr w:type="spellStart"/>
            <w:r w:rsidRPr="005C26D0">
              <w:rPr>
                <w:color w:val="000000"/>
                <w:sz w:val="18"/>
                <w:szCs w:val="18"/>
                <w:lang w:val="en-US"/>
              </w:rPr>
              <w:t>calculează</w:t>
            </w:r>
            <w:proofErr w:type="spellEnd"/>
            <w:r w:rsidRPr="005C26D0">
              <w:rPr>
                <w:color w:val="000000"/>
                <w:sz w:val="18"/>
                <w:szCs w:val="18"/>
                <w:lang w:val="en-US"/>
              </w:rPr>
              <w:t xml:space="preserve"> </w:t>
            </w:r>
            <w:proofErr w:type="spellStart"/>
            <w:r w:rsidRPr="005C26D0">
              <w:rPr>
                <w:color w:val="000000"/>
                <w:sz w:val="18"/>
                <w:szCs w:val="18"/>
                <w:lang w:val="en-US"/>
              </w:rPr>
              <w:t>majorările</w:t>
            </w:r>
            <w:proofErr w:type="spellEnd"/>
            <w:r w:rsidRPr="005C26D0">
              <w:rPr>
                <w:color w:val="000000"/>
                <w:sz w:val="18"/>
                <w:szCs w:val="18"/>
                <w:lang w:val="en-US"/>
              </w:rPr>
              <w:t xml:space="preserve"> per </w:t>
            </w:r>
            <w:proofErr w:type="spellStart"/>
            <w:r w:rsidRPr="005C26D0">
              <w:rPr>
                <w:color w:val="000000"/>
                <w:sz w:val="18"/>
                <w:szCs w:val="18"/>
                <w:lang w:val="en-US"/>
              </w:rPr>
              <w:t>categorie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menționate</w:t>
            </w:r>
            <w:proofErr w:type="spellEnd"/>
            <w:r w:rsidRPr="005C26D0">
              <w:rPr>
                <w:color w:val="000000"/>
                <w:sz w:val="18"/>
                <w:szCs w:val="18"/>
                <w:lang w:val="en-US"/>
              </w:rPr>
              <w:t xml:space="preserve"> la </w:t>
            </w:r>
            <w:proofErr w:type="spellStart"/>
            <w:r w:rsidRPr="005C26D0">
              <w:rPr>
                <w:color w:val="000000"/>
                <w:sz w:val="18"/>
                <w:szCs w:val="18"/>
                <w:lang w:val="en-US"/>
              </w:rPr>
              <w:t>articolele</w:t>
            </w:r>
            <w:proofErr w:type="spellEnd"/>
            <w:r w:rsidRPr="005C26D0">
              <w:rPr>
                <w:color w:val="000000"/>
                <w:sz w:val="18"/>
                <w:szCs w:val="18"/>
                <w:lang w:val="en-US"/>
              </w:rPr>
              <w:t xml:space="preserve"> 280a-280f din </w:t>
            </w:r>
            <w:proofErr w:type="spellStart"/>
            <w:r w:rsidRPr="005C26D0">
              <w:rPr>
                <w:color w:val="000000"/>
                <w:sz w:val="18"/>
                <w:szCs w:val="18"/>
                <w:lang w:val="en-US"/>
              </w:rPr>
              <w:t>Regulamentul</w:t>
            </w:r>
            <w:proofErr w:type="spellEnd"/>
            <w:r w:rsidRPr="005C26D0">
              <w:rPr>
                <w:color w:val="000000"/>
                <w:sz w:val="18"/>
                <w:szCs w:val="18"/>
                <w:lang w:val="en-US"/>
              </w:rPr>
              <w:t xml:space="preserve"> (UE) nr. 575/2013, </w:t>
            </w:r>
            <w:proofErr w:type="spellStart"/>
            <w:r w:rsidRPr="005C26D0">
              <w:rPr>
                <w:color w:val="000000"/>
                <w:sz w:val="18"/>
                <w:szCs w:val="18"/>
                <w:lang w:val="en-US"/>
              </w:rPr>
              <w:t>după</w:t>
            </w:r>
            <w:proofErr w:type="spellEnd"/>
            <w:r w:rsidRPr="005C26D0">
              <w:rPr>
                <w:color w:val="000000"/>
                <w:sz w:val="18"/>
                <w:szCs w:val="18"/>
                <w:lang w:val="en-US"/>
              </w:rPr>
              <w:t xml:space="preserve"> </w:t>
            </w:r>
            <w:proofErr w:type="spellStart"/>
            <w:r w:rsidRPr="005C26D0">
              <w:rPr>
                <w:color w:val="000000"/>
                <w:sz w:val="18"/>
                <w:szCs w:val="18"/>
                <w:lang w:val="en-US"/>
              </w:rPr>
              <w:t>caz</w:t>
            </w:r>
            <w:proofErr w:type="spellEnd"/>
            <w:r w:rsidRPr="005C26D0">
              <w:rPr>
                <w:color w:val="000000"/>
                <w:sz w:val="18"/>
                <w:szCs w:val="18"/>
                <w:lang w:val="en-US"/>
              </w:rPr>
              <w:t xml:space="preserve">, </w:t>
            </w:r>
            <w:proofErr w:type="spellStart"/>
            <w:r w:rsidRPr="005C26D0">
              <w:rPr>
                <w:color w:val="000000"/>
                <w:sz w:val="18"/>
                <w:szCs w:val="18"/>
                <w:lang w:val="en-US"/>
              </w:rPr>
              <w:t>pentru</w:t>
            </w:r>
            <w:proofErr w:type="spellEnd"/>
            <w:r w:rsidRPr="005C26D0">
              <w:rPr>
                <w:color w:val="000000"/>
                <w:sz w:val="18"/>
                <w:szCs w:val="18"/>
                <w:lang w:val="en-US"/>
              </w:rPr>
              <w:t xml:space="preserve"> </w:t>
            </w:r>
            <w:proofErr w:type="spellStart"/>
            <w:r w:rsidRPr="005C26D0">
              <w:rPr>
                <w:color w:val="000000"/>
                <w:sz w:val="18"/>
                <w:szCs w:val="18"/>
                <w:lang w:val="en-US"/>
              </w:rPr>
              <w:t>fiecare</w:t>
            </w:r>
            <w:proofErr w:type="spellEnd"/>
            <w:r w:rsidRPr="005C26D0">
              <w:rPr>
                <w:color w:val="000000"/>
                <w:sz w:val="18"/>
                <w:szCs w:val="18"/>
                <w:lang w:val="en-US"/>
              </w:rPr>
              <w:t xml:space="preserve"> determinant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identificat</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articolul</w:t>
            </w:r>
            <w:proofErr w:type="spellEnd"/>
            <w:r w:rsidRPr="005C26D0">
              <w:rPr>
                <w:color w:val="000000"/>
                <w:sz w:val="18"/>
                <w:szCs w:val="18"/>
                <w:lang w:val="en-US"/>
              </w:rPr>
              <w:t xml:space="preserve"> 1. </w:t>
            </w:r>
            <w:proofErr w:type="spellStart"/>
            <w:r w:rsidRPr="00383F39">
              <w:rPr>
                <w:color w:val="000000"/>
                <w:sz w:val="18"/>
                <w:szCs w:val="18"/>
                <w:lang w:val="en-US"/>
              </w:rPr>
              <w:t>În</w:t>
            </w:r>
            <w:proofErr w:type="spellEnd"/>
            <w:r w:rsidRPr="00383F39">
              <w:rPr>
                <w:color w:val="000000"/>
                <w:sz w:val="18"/>
                <w:szCs w:val="18"/>
                <w:lang w:val="en-US"/>
              </w:rPr>
              <w:t xml:space="preserve"> </w:t>
            </w:r>
            <w:proofErr w:type="spellStart"/>
            <w:r w:rsidRPr="00383F39">
              <w:rPr>
                <w:color w:val="000000"/>
                <w:sz w:val="18"/>
                <w:szCs w:val="18"/>
                <w:lang w:val="en-US"/>
              </w:rPr>
              <w:t>cazul</w:t>
            </w:r>
            <w:proofErr w:type="spellEnd"/>
            <w:r w:rsidRPr="00383F39">
              <w:rPr>
                <w:color w:val="000000"/>
                <w:sz w:val="18"/>
                <w:szCs w:val="18"/>
                <w:lang w:val="en-US"/>
              </w:rPr>
              <w:t xml:space="preserve"> </w:t>
            </w:r>
            <w:proofErr w:type="spellStart"/>
            <w:r w:rsidRPr="00383F39">
              <w:rPr>
                <w:color w:val="000000"/>
                <w:sz w:val="18"/>
                <w:szCs w:val="18"/>
                <w:lang w:val="en-US"/>
              </w:rPr>
              <w:t>în</w:t>
            </w:r>
            <w:proofErr w:type="spellEnd"/>
            <w:r w:rsidRPr="00383F39">
              <w:rPr>
                <w:color w:val="000000"/>
                <w:sz w:val="18"/>
                <w:szCs w:val="18"/>
                <w:lang w:val="en-US"/>
              </w:rPr>
              <w:t xml:space="preserve"> care </w:t>
            </w:r>
            <w:proofErr w:type="spellStart"/>
            <w:r w:rsidRPr="00383F39">
              <w:rPr>
                <w:color w:val="000000"/>
                <w:sz w:val="18"/>
                <w:szCs w:val="18"/>
                <w:lang w:val="en-US"/>
              </w:rPr>
              <w:t>mai</w:t>
            </w:r>
            <w:proofErr w:type="spellEnd"/>
            <w:r w:rsidRPr="00383F39">
              <w:rPr>
                <w:color w:val="000000"/>
                <w:sz w:val="18"/>
                <w:szCs w:val="18"/>
                <w:lang w:val="en-US"/>
              </w:rPr>
              <w:t xml:space="preserve"> </w:t>
            </w:r>
            <w:proofErr w:type="spellStart"/>
            <w:r w:rsidRPr="00383F39">
              <w:rPr>
                <w:color w:val="000000"/>
                <w:sz w:val="18"/>
                <w:szCs w:val="18"/>
                <w:lang w:val="en-US"/>
              </w:rPr>
              <w:t>mulți</w:t>
            </w:r>
            <w:proofErr w:type="spellEnd"/>
            <w:r w:rsidRPr="00383F39">
              <w:rPr>
                <w:color w:val="000000"/>
                <w:sz w:val="18"/>
                <w:szCs w:val="18"/>
                <w:lang w:val="en-US"/>
              </w:rPr>
              <w:t xml:space="preserve"> </w:t>
            </w:r>
            <w:proofErr w:type="spellStart"/>
            <w:r w:rsidRPr="00383F39">
              <w:rPr>
                <w:color w:val="000000"/>
                <w:sz w:val="18"/>
                <w:szCs w:val="18"/>
                <w:lang w:val="en-US"/>
              </w:rPr>
              <w:t>determinanți</w:t>
            </w:r>
            <w:proofErr w:type="spellEnd"/>
            <w:r w:rsidRPr="00383F39">
              <w:rPr>
                <w:color w:val="000000"/>
                <w:sz w:val="18"/>
                <w:szCs w:val="18"/>
                <w:lang w:val="en-US"/>
              </w:rPr>
              <w:t xml:space="preserve"> de </w:t>
            </w:r>
            <w:proofErr w:type="spellStart"/>
            <w:r w:rsidRPr="00383F39">
              <w:rPr>
                <w:color w:val="000000"/>
                <w:sz w:val="18"/>
                <w:szCs w:val="18"/>
                <w:lang w:val="en-US"/>
              </w:rPr>
              <w:t>risc</w:t>
            </w:r>
            <w:proofErr w:type="spellEnd"/>
            <w:r w:rsidRPr="00383F39">
              <w:rPr>
                <w:color w:val="000000"/>
                <w:sz w:val="18"/>
                <w:szCs w:val="18"/>
                <w:lang w:val="en-US"/>
              </w:rPr>
              <w:t xml:space="preserve"> </w:t>
            </w:r>
            <w:proofErr w:type="spellStart"/>
            <w:r w:rsidRPr="00383F39">
              <w:rPr>
                <w:color w:val="000000"/>
                <w:sz w:val="18"/>
                <w:szCs w:val="18"/>
                <w:lang w:val="en-US"/>
              </w:rPr>
              <w:t>identificați</w:t>
            </w:r>
            <w:proofErr w:type="spellEnd"/>
            <w:r w:rsidRPr="00383F39">
              <w:rPr>
                <w:color w:val="000000"/>
                <w:sz w:val="18"/>
                <w:szCs w:val="18"/>
                <w:lang w:val="en-US"/>
              </w:rPr>
              <w:t xml:space="preserve"> </w:t>
            </w:r>
            <w:proofErr w:type="spellStart"/>
            <w:r w:rsidRPr="00383F39">
              <w:rPr>
                <w:color w:val="000000"/>
                <w:sz w:val="18"/>
                <w:szCs w:val="18"/>
                <w:lang w:val="en-US"/>
              </w:rPr>
              <w:t>în</w:t>
            </w:r>
            <w:proofErr w:type="spellEnd"/>
            <w:r w:rsidRPr="00383F39">
              <w:rPr>
                <w:color w:val="000000"/>
                <w:sz w:val="18"/>
                <w:szCs w:val="18"/>
                <w:lang w:val="en-US"/>
              </w:rPr>
              <w:t xml:space="preserve"> </w:t>
            </w:r>
            <w:proofErr w:type="spellStart"/>
            <w:r w:rsidRPr="00383F39">
              <w:rPr>
                <w:color w:val="000000"/>
                <w:sz w:val="18"/>
                <w:szCs w:val="18"/>
                <w:lang w:val="en-US"/>
              </w:rPr>
              <w:t>conformitate</w:t>
            </w:r>
            <w:proofErr w:type="spellEnd"/>
            <w:r w:rsidRPr="00383F39">
              <w:rPr>
                <w:color w:val="000000"/>
                <w:sz w:val="18"/>
                <w:szCs w:val="18"/>
                <w:lang w:val="en-US"/>
              </w:rPr>
              <w:t xml:space="preserve"> cu </w:t>
            </w:r>
            <w:proofErr w:type="spellStart"/>
            <w:r w:rsidRPr="00383F39">
              <w:rPr>
                <w:color w:val="000000"/>
                <w:sz w:val="18"/>
                <w:szCs w:val="18"/>
                <w:lang w:val="en-US"/>
              </w:rPr>
              <w:t>articolul</w:t>
            </w:r>
            <w:proofErr w:type="spellEnd"/>
            <w:r w:rsidRPr="00383F39">
              <w:rPr>
                <w:color w:val="000000"/>
                <w:sz w:val="18"/>
                <w:szCs w:val="18"/>
                <w:lang w:val="en-US"/>
              </w:rPr>
              <w:t xml:space="preserve"> 1 au </w:t>
            </w:r>
            <w:proofErr w:type="spellStart"/>
            <w:r w:rsidRPr="00383F39">
              <w:rPr>
                <w:color w:val="000000"/>
                <w:sz w:val="18"/>
                <w:szCs w:val="18"/>
                <w:lang w:val="en-US"/>
              </w:rPr>
              <w:t>fost</w:t>
            </w:r>
            <w:proofErr w:type="spellEnd"/>
            <w:r w:rsidRPr="00383F39">
              <w:rPr>
                <w:color w:val="000000"/>
                <w:sz w:val="18"/>
                <w:szCs w:val="18"/>
                <w:lang w:val="en-US"/>
              </w:rPr>
              <w:t xml:space="preserve"> </w:t>
            </w:r>
            <w:proofErr w:type="spellStart"/>
            <w:r w:rsidRPr="00383F39">
              <w:rPr>
                <w:color w:val="000000"/>
                <w:sz w:val="18"/>
                <w:szCs w:val="18"/>
                <w:lang w:val="en-US"/>
              </w:rPr>
              <w:t>încadrați</w:t>
            </w:r>
            <w:proofErr w:type="spellEnd"/>
            <w:r w:rsidRPr="00383F39">
              <w:rPr>
                <w:color w:val="000000"/>
                <w:sz w:val="18"/>
                <w:szCs w:val="18"/>
                <w:lang w:val="en-US"/>
              </w:rPr>
              <w:t xml:space="preserve"> </w:t>
            </w:r>
            <w:proofErr w:type="spellStart"/>
            <w:r w:rsidRPr="00383F39">
              <w:rPr>
                <w:color w:val="000000"/>
                <w:sz w:val="18"/>
                <w:szCs w:val="18"/>
                <w:lang w:val="en-US"/>
              </w:rPr>
              <w:t>în</w:t>
            </w:r>
            <w:proofErr w:type="spellEnd"/>
            <w:r w:rsidRPr="00383F39">
              <w:rPr>
                <w:color w:val="000000"/>
                <w:sz w:val="18"/>
                <w:szCs w:val="18"/>
                <w:lang w:val="en-US"/>
              </w:rPr>
              <w:t xml:space="preserve"> </w:t>
            </w:r>
            <w:proofErr w:type="spellStart"/>
            <w:r w:rsidRPr="00383F39">
              <w:rPr>
                <w:color w:val="000000"/>
                <w:sz w:val="18"/>
                <w:szCs w:val="18"/>
                <w:lang w:val="en-US"/>
              </w:rPr>
              <w:t>aceeași</w:t>
            </w:r>
            <w:proofErr w:type="spellEnd"/>
            <w:r w:rsidRPr="00383F39">
              <w:rPr>
                <w:color w:val="000000"/>
                <w:sz w:val="18"/>
                <w:szCs w:val="18"/>
                <w:lang w:val="en-US"/>
              </w:rPr>
              <w:t xml:space="preserve"> </w:t>
            </w:r>
            <w:proofErr w:type="spellStart"/>
            <w:r w:rsidRPr="00383F39">
              <w:rPr>
                <w:color w:val="000000"/>
                <w:sz w:val="18"/>
                <w:szCs w:val="18"/>
                <w:lang w:val="en-US"/>
              </w:rPr>
              <w:t>categorie</w:t>
            </w:r>
            <w:proofErr w:type="spellEnd"/>
            <w:r w:rsidRPr="00383F39">
              <w:rPr>
                <w:color w:val="000000"/>
                <w:sz w:val="18"/>
                <w:szCs w:val="18"/>
                <w:lang w:val="en-US"/>
              </w:rPr>
              <w:t xml:space="preserve"> de </w:t>
            </w:r>
            <w:proofErr w:type="spellStart"/>
            <w:r w:rsidRPr="00383F39">
              <w:rPr>
                <w:color w:val="000000"/>
                <w:sz w:val="18"/>
                <w:szCs w:val="18"/>
                <w:lang w:val="en-US"/>
              </w:rPr>
              <w:t>risc</w:t>
            </w:r>
            <w:proofErr w:type="spellEnd"/>
            <w:r w:rsidRPr="00383F39">
              <w:rPr>
                <w:color w:val="000000"/>
                <w:sz w:val="18"/>
                <w:szCs w:val="18"/>
                <w:lang w:val="en-US"/>
              </w:rPr>
              <w:t xml:space="preserve">, </w:t>
            </w:r>
            <w:proofErr w:type="spellStart"/>
            <w:r w:rsidRPr="00383F39">
              <w:rPr>
                <w:color w:val="000000"/>
                <w:sz w:val="18"/>
                <w:szCs w:val="18"/>
                <w:lang w:val="en-US"/>
              </w:rPr>
              <w:t>instituțiile</w:t>
            </w:r>
            <w:proofErr w:type="spellEnd"/>
            <w:r w:rsidRPr="00383F39">
              <w:rPr>
                <w:color w:val="000000"/>
                <w:sz w:val="18"/>
                <w:szCs w:val="18"/>
                <w:lang w:val="en-US"/>
              </w:rPr>
              <w:t xml:space="preserve"> </w:t>
            </w:r>
            <w:proofErr w:type="spellStart"/>
            <w:r w:rsidRPr="00383F39">
              <w:rPr>
                <w:color w:val="000000"/>
                <w:sz w:val="18"/>
                <w:szCs w:val="18"/>
                <w:lang w:val="en-US"/>
              </w:rPr>
              <w:t>păstrează</w:t>
            </w:r>
            <w:proofErr w:type="spellEnd"/>
            <w:r w:rsidRPr="00383F39">
              <w:rPr>
                <w:color w:val="000000"/>
                <w:sz w:val="18"/>
                <w:szCs w:val="18"/>
                <w:lang w:val="en-US"/>
              </w:rPr>
              <w:t xml:space="preserve">, </w:t>
            </w:r>
            <w:proofErr w:type="spellStart"/>
            <w:r w:rsidRPr="00383F39">
              <w:rPr>
                <w:color w:val="000000"/>
                <w:sz w:val="18"/>
                <w:szCs w:val="18"/>
                <w:lang w:val="en-US"/>
              </w:rPr>
              <w:t>pentru</w:t>
            </w:r>
            <w:proofErr w:type="spellEnd"/>
            <w:r w:rsidRPr="00383F39">
              <w:rPr>
                <w:color w:val="000000"/>
                <w:sz w:val="18"/>
                <w:szCs w:val="18"/>
                <w:lang w:val="en-US"/>
              </w:rPr>
              <w:t xml:space="preserve"> </w:t>
            </w:r>
            <w:proofErr w:type="spellStart"/>
            <w:r w:rsidRPr="00383F39">
              <w:rPr>
                <w:color w:val="000000"/>
                <w:sz w:val="18"/>
                <w:szCs w:val="18"/>
                <w:lang w:val="en-US"/>
              </w:rPr>
              <w:t>aplicarea</w:t>
            </w:r>
            <w:proofErr w:type="spellEnd"/>
            <w:r w:rsidRPr="00383F39">
              <w:rPr>
                <w:color w:val="000000"/>
                <w:sz w:val="18"/>
                <w:szCs w:val="18"/>
                <w:lang w:val="en-US"/>
              </w:rPr>
              <w:t xml:space="preserve"> </w:t>
            </w:r>
            <w:proofErr w:type="spellStart"/>
            <w:r w:rsidRPr="00383F39">
              <w:rPr>
                <w:color w:val="000000"/>
                <w:sz w:val="18"/>
                <w:szCs w:val="18"/>
                <w:lang w:val="en-US"/>
              </w:rPr>
              <w:t>literei</w:t>
            </w:r>
            <w:proofErr w:type="spellEnd"/>
            <w:r w:rsidRPr="00383F39">
              <w:rPr>
                <w:color w:val="000000"/>
                <w:sz w:val="18"/>
                <w:szCs w:val="18"/>
                <w:lang w:val="en-US"/>
              </w:rPr>
              <w:t xml:space="preserve"> (b), </w:t>
            </w:r>
            <w:proofErr w:type="spellStart"/>
            <w:r w:rsidRPr="00383F39">
              <w:rPr>
                <w:color w:val="000000"/>
                <w:sz w:val="18"/>
                <w:szCs w:val="18"/>
                <w:lang w:val="en-US"/>
              </w:rPr>
              <w:t>determinantul</w:t>
            </w:r>
            <w:proofErr w:type="spellEnd"/>
            <w:r w:rsidRPr="00383F39">
              <w:rPr>
                <w:color w:val="000000"/>
                <w:sz w:val="18"/>
                <w:szCs w:val="18"/>
                <w:lang w:val="en-US"/>
              </w:rPr>
              <w:t xml:space="preserve"> de </w:t>
            </w:r>
            <w:proofErr w:type="spellStart"/>
            <w:r w:rsidRPr="00383F39">
              <w:rPr>
                <w:color w:val="000000"/>
                <w:sz w:val="18"/>
                <w:szCs w:val="18"/>
                <w:lang w:val="en-US"/>
              </w:rPr>
              <w:t>risc</w:t>
            </w:r>
            <w:proofErr w:type="spellEnd"/>
            <w:r w:rsidRPr="00383F39">
              <w:rPr>
                <w:color w:val="000000"/>
                <w:sz w:val="18"/>
                <w:szCs w:val="18"/>
                <w:lang w:val="en-US"/>
              </w:rPr>
              <w:t xml:space="preserve"> din </w:t>
            </w:r>
            <w:proofErr w:type="spellStart"/>
            <w:r w:rsidRPr="00383F39">
              <w:rPr>
                <w:color w:val="000000"/>
                <w:sz w:val="18"/>
                <w:szCs w:val="18"/>
                <w:lang w:val="en-US"/>
              </w:rPr>
              <w:t>categoria</w:t>
            </w:r>
            <w:proofErr w:type="spellEnd"/>
            <w:r w:rsidRPr="00383F39">
              <w:rPr>
                <w:color w:val="000000"/>
                <w:sz w:val="18"/>
                <w:szCs w:val="18"/>
                <w:lang w:val="en-US"/>
              </w:rPr>
              <w:t xml:space="preserve"> de </w:t>
            </w:r>
            <w:proofErr w:type="spellStart"/>
            <w:r w:rsidRPr="00383F39">
              <w:rPr>
                <w:color w:val="000000"/>
                <w:sz w:val="18"/>
                <w:szCs w:val="18"/>
                <w:lang w:val="en-US"/>
              </w:rPr>
              <w:t>risc</w:t>
            </w:r>
            <w:proofErr w:type="spellEnd"/>
            <w:r w:rsidRPr="00383F39">
              <w:rPr>
                <w:color w:val="000000"/>
                <w:sz w:val="18"/>
                <w:szCs w:val="18"/>
                <w:lang w:val="en-US"/>
              </w:rPr>
              <w:t xml:space="preserve"> care </w:t>
            </w:r>
            <w:proofErr w:type="spellStart"/>
            <w:r w:rsidRPr="00383F39">
              <w:rPr>
                <w:color w:val="000000"/>
                <w:sz w:val="18"/>
                <w:szCs w:val="18"/>
                <w:lang w:val="en-US"/>
              </w:rPr>
              <w:t>corespunde</w:t>
            </w:r>
            <w:proofErr w:type="spellEnd"/>
            <w:r w:rsidRPr="00383F39">
              <w:rPr>
                <w:color w:val="000000"/>
                <w:sz w:val="18"/>
                <w:szCs w:val="18"/>
                <w:lang w:val="en-US"/>
              </w:rPr>
              <w:t xml:space="preserve"> </w:t>
            </w:r>
            <w:proofErr w:type="spellStart"/>
            <w:r w:rsidRPr="00383F39">
              <w:rPr>
                <w:color w:val="000000"/>
                <w:sz w:val="18"/>
                <w:szCs w:val="18"/>
                <w:lang w:val="en-US"/>
              </w:rPr>
              <w:t>celei</w:t>
            </w:r>
            <w:proofErr w:type="spellEnd"/>
            <w:r w:rsidRPr="00383F39">
              <w:rPr>
                <w:color w:val="000000"/>
                <w:sz w:val="18"/>
                <w:szCs w:val="18"/>
                <w:lang w:val="en-US"/>
              </w:rPr>
              <w:t xml:space="preserve"> </w:t>
            </w:r>
            <w:proofErr w:type="spellStart"/>
            <w:r w:rsidRPr="00383F39">
              <w:rPr>
                <w:color w:val="000000"/>
                <w:sz w:val="18"/>
                <w:szCs w:val="18"/>
                <w:lang w:val="en-US"/>
              </w:rPr>
              <w:t>mai</w:t>
            </w:r>
            <w:proofErr w:type="spellEnd"/>
            <w:r w:rsidRPr="00383F39">
              <w:rPr>
                <w:color w:val="000000"/>
                <w:sz w:val="18"/>
                <w:szCs w:val="18"/>
                <w:lang w:val="en-US"/>
              </w:rPr>
              <w:t xml:space="preserve"> </w:t>
            </w:r>
            <w:proofErr w:type="spellStart"/>
            <w:r w:rsidRPr="00383F39">
              <w:rPr>
                <w:color w:val="000000"/>
                <w:sz w:val="18"/>
                <w:szCs w:val="18"/>
                <w:lang w:val="en-US"/>
              </w:rPr>
              <w:t>mari</w:t>
            </w:r>
            <w:proofErr w:type="spellEnd"/>
            <w:r w:rsidRPr="00383F39">
              <w:rPr>
                <w:color w:val="000000"/>
                <w:sz w:val="18"/>
                <w:szCs w:val="18"/>
                <w:lang w:val="en-US"/>
              </w:rPr>
              <w:t xml:space="preserve"> </w:t>
            </w:r>
            <w:proofErr w:type="spellStart"/>
            <w:r w:rsidRPr="00383F39">
              <w:rPr>
                <w:color w:val="000000"/>
                <w:sz w:val="18"/>
                <w:szCs w:val="18"/>
                <w:lang w:val="en-US"/>
              </w:rPr>
              <w:t>majorări</w:t>
            </w:r>
            <w:proofErr w:type="spellEnd"/>
            <w:r w:rsidRPr="00383F39">
              <w:rPr>
                <w:color w:val="000000"/>
                <w:sz w:val="18"/>
                <w:szCs w:val="18"/>
                <w:lang w:val="en-US"/>
              </w:rPr>
              <w:t xml:space="preserve"> </w:t>
            </w:r>
            <w:proofErr w:type="spellStart"/>
            <w:r w:rsidRPr="00383F39">
              <w:rPr>
                <w:color w:val="000000"/>
                <w:sz w:val="18"/>
                <w:szCs w:val="18"/>
                <w:lang w:val="en-US"/>
              </w:rPr>
              <w:t>pentru</w:t>
            </w:r>
            <w:proofErr w:type="spellEnd"/>
            <w:r w:rsidRPr="00383F39">
              <w:rPr>
                <w:color w:val="000000"/>
                <w:sz w:val="18"/>
                <w:szCs w:val="18"/>
                <w:lang w:val="en-US"/>
              </w:rPr>
              <w:t xml:space="preserve"> </w:t>
            </w:r>
            <w:proofErr w:type="spellStart"/>
            <w:r w:rsidRPr="00383F39">
              <w:rPr>
                <w:color w:val="000000"/>
                <w:sz w:val="18"/>
                <w:szCs w:val="18"/>
                <w:lang w:val="en-US"/>
              </w:rPr>
              <w:t>categoria</w:t>
            </w:r>
            <w:proofErr w:type="spellEnd"/>
            <w:r w:rsidRPr="00383F39">
              <w:rPr>
                <w:color w:val="000000"/>
                <w:sz w:val="18"/>
                <w:szCs w:val="18"/>
                <w:lang w:val="en-US"/>
              </w:rPr>
              <w:t xml:space="preserve"> de </w:t>
            </w:r>
            <w:proofErr w:type="spellStart"/>
            <w:r w:rsidRPr="00383F39">
              <w:rPr>
                <w:color w:val="000000"/>
                <w:sz w:val="18"/>
                <w:szCs w:val="18"/>
                <w:lang w:val="en-US"/>
              </w:rPr>
              <w:t>risc</w:t>
            </w:r>
            <w:proofErr w:type="spellEnd"/>
            <w:r w:rsidRPr="00383F39">
              <w:rPr>
                <w:color w:val="000000"/>
                <w:sz w:val="18"/>
                <w:szCs w:val="18"/>
                <w:lang w:val="en-US"/>
              </w:rPr>
              <w:t xml:space="preserve"> din </w:t>
            </w:r>
            <w:proofErr w:type="spellStart"/>
            <w:r w:rsidRPr="00383F39">
              <w:rPr>
                <w:color w:val="000000"/>
                <w:sz w:val="18"/>
                <w:szCs w:val="18"/>
                <w:lang w:val="en-US"/>
              </w:rPr>
              <w:t>categoria</w:t>
            </w:r>
            <w:proofErr w:type="spellEnd"/>
            <w:r w:rsidRPr="00383F39">
              <w:rPr>
                <w:color w:val="000000"/>
                <w:sz w:val="18"/>
                <w:szCs w:val="18"/>
                <w:lang w:val="en-US"/>
              </w:rPr>
              <w:t xml:space="preserve"> de </w:t>
            </w:r>
            <w:proofErr w:type="spellStart"/>
            <w:r w:rsidRPr="00383F39">
              <w:rPr>
                <w:color w:val="000000"/>
                <w:sz w:val="18"/>
                <w:szCs w:val="18"/>
                <w:lang w:val="en-US"/>
              </w:rPr>
              <w:t>risc</w:t>
            </w:r>
            <w:proofErr w:type="spellEnd"/>
            <w:r w:rsidRPr="00383F39">
              <w:rPr>
                <w:color w:val="000000"/>
                <w:sz w:val="18"/>
                <w:szCs w:val="18"/>
                <w:lang w:val="en-US"/>
              </w:rPr>
              <w:t xml:space="preserve"> </w:t>
            </w:r>
            <w:proofErr w:type="spellStart"/>
            <w:proofErr w:type="gramStart"/>
            <w:r w:rsidRPr="00383F39">
              <w:rPr>
                <w:color w:val="000000"/>
                <w:sz w:val="18"/>
                <w:szCs w:val="18"/>
                <w:lang w:val="en-US"/>
              </w:rPr>
              <w:t>respectivă</w:t>
            </w:r>
            <w:proofErr w:type="spellEnd"/>
            <w:r w:rsidRPr="00383F39">
              <w:rPr>
                <w:color w:val="000000"/>
                <w:sz w:val="18"/>
                <w:szCs w:val="18"/>
                <w:lang w:val="en-US"/>
              </w:rPr>
              <w:t>;</w:t>
            </w:r>
            <w:proofErr w:type="gramEnd"/>
          </w:p>
          <w:p w14:paraId="399B91D5" w14:textId="6BDBF171" w:rsidR="002D6B17" w:rsidRPr="005C26D0" w:rsidRDefault="002D6B17" w:rsidP="002D6B17">
            <w:pPr>
              <w:shd w:val="clear" w:color="auto" w:fill="FFFFFF"/>
              <w:rPr>
                <w:color w:val="000000"/>
                <w:sz w:val="18"/>
                <w:szCs w:val="18"/>
                <w:lang w:val="en-US"/>
              </w:rPr>
            </w:pPr>
            <w:r w:rsidRPr="005C26D0">
              <w:rPr>
                <w:color w:val="000000"/>
                <w:sz w:val="18"/>
                <w:szCs w:val="18"/>
                <w:lang w:val="en-US"/>
              </w:rPr>
              <w:t>(b) </w:t>
            </w:r>
            <w:proofErr w:type="spellStart"/>
            <w:r w:rsidRPr="005C26D0">
              <w:rPr>
                <w:color w:val="000000"/>
                <w:sz w:val="18"/>
                <w:szCs w:val="18"/>
                <w:lang w:val="en-US"/>
              </w:rPr>
              <w:t>aplică</w:t>
            </w:r>
            <w:proofErr w:type="spellEnd"/>
            <w:r w:rsidRPr="005C26D0">
              <w:rPr>
                <w:color w:val="000000"/>
                <w:sz w:val="18"/>
                <w:szCs w:val="18"/>
                <w:lang w:val="en-US"/>
              </w:rPr>
              <w:t xml:space="preserve"> </w:t>
            </w:r>
            <w:proofErr w:type="spellStart"/>
            <w:r w:rsidRPr="005C26D0">
              <w:rPr>
                <w:color w:val="000000"/>
                <w:sz w:val="18"/>
                <w:szCs w:val="18"/>
                <w:lang w:val="en-US"/>
              </w:rPr>
              <w:t>etapele</w:t>
            </w:r>
            <w:proofErr w:type="spellEnd"/>
            <w:r w:rsidRPr="005C26D0">
              <w:rPr>
                <w:color w:val="000000"/>
                <w:sz w:val="18"/>
                <w:szCs w:val="18"/>
                <w:lang w:val="en-US"/>
              </w:rPr>
              <w:t xml:space="preserve"> </w:t>
            </w:r>
            <w:proofErr w:type="spellStart"/>
            <w:r w:rsidRPr="005C26D0">
              <w:rPr>
                <w:color w:val="000000"/>
                <w:sz w:val="18"/>
                <w:szCs w:val="18"/>
                <w:lang w:val="en-US"/>
              </w:rPr>
              <w:t>prevăzute</w:t>
            </w:r>
            <w:proofErr w:type="spellEnd"/>
            <w:r w:rsidRPr="005C26D0">
              <w:rPr>
                <w:color w:val="000000"/>
                <w:sz w:val="18"/>
                <w:szCs w:val="18"/>
                <w:lang w:val="en-US"/>
              </w:rPr>
              <w:t xml:space="preserve"> la </w:t>
            </w:r>
            <w:proofErr w:type="spellStart"/>
            <w:r w:rsidRPr="005C26D0">
              <w:rPr>
                <w:color w:val="000000"/>
                <w:sz w:val="18"/>
                <w:szCs w:val="18"/>
                <w:lang w:val="en-US"/>
              </w:rPr>
              <w:t>alineatul</w:t>
            </w:r>
            <w:proofErr w:type="spellEnd"/>
            <w:r w:rsidRPr="005C26D0">
              <w:rPr>
                <w:color w:val="000000"/>
                <w:sz w:val="18"/>
                <w:szCs w:val="18"/>
                <w:lang w:val="en-US"/>
              </w:rPr>
              <w:t xml:space="preserve"> (3) </w:t>
            </w:r>
            <w:proofErr w:type="spellStart"/>
            <w:r w:rsidRPr="005C26D0">
              <w:rPr>
                <w:color w:val="000000"/>
                <w:sz w:val="18"/>
                <w:szCs w:val="18"/>
                <w:lang w:val="en-US"/>
              </w:rPr>
              <w:t>literele</w:t>
            </w:r>
            <w:proofErr w:type="spellEnd"/>
            <w:r w:rsidRPr="005C26D0">
              <w:rPr>
                <w:color w:val="000000"/>
                <w:sz w:val="18"/>
                <w:szCs w:val="18"/>
                <w:lang w:val="en-US"/>
              </w:rPr>
              <w:t xml:space="preserve"> (d)-(h), </w:t>
            </w:r>
            <w:proofErr w:type="spellStart"/>
            <w:r w:rsidRPr="005C26D0">
              <w:rPr>
                <w:color w:val="000000"/>
                <w:sz w:val="18"/>
                <w:szCs w:val="18"/>
                <w:lang w:val="en-US"/>
              </w:rPr>
              <w:t>termenii</w:t>
            </w:r>
            <w:proofErr w:type="spellEnd"/>
            <w:r w:rsidRPr="005C26D0">
              <w:rPr>
                <w:color w:val="000000"/>
                <w:sz w:val="18"/>
                <w:szCs w:val="18"/>
                <w:lang w:val="en-US"/>
              </w:rPr>
              <w:t xml:space="preserve"> </w:t>
            </w:r>
            <w:proofErr w:type="spellStart"/>
            <w:r w:rsidRPr="005C26D0">
              <w:rPr>
                <w:color w:val="000000"/>
                <w:sz w:val="18"/>
                <w:szCs w:val="18"/>
                <w:lang w:val="en-US"/>
              </w:rPr>
              <w:t>utilizați</w:t>
            </w:r>
            <w:proofErr w:type="spellEnd"/>
            <w:r w:rsidRPr="005C26D0">
              <w:rPr>
                <w:color w:val="000000"/>
                <w:sz w:val="18"/>
                <w:szCs w:val="18"/>
                <w:lang w:val="en-US"/>
              </w:rPr>
              <w:t xml:space="preserv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etapele</w:t>
            </w:r>
            <w:proofErr w:type="spellEnd"/>
            <w:r w:rsidRPr="005C26D0">
              <w:rPr>
                <w:color w:val="000000"/>
                <w:sz w:val="18"/>
                <w:szCs w:val="18"/>
                <w:lang w:val="en-US"/>
              </w:rPr>
              <w:t xml:space="preserve"> respective </w:t>
            </w:r>
            <w:proofErr w:type="spellStart"/>
            <w:r w:rsidRPr="005C26D0">
              <w:rPr>
                <w:color w:val="000000"/>
                <w:sz w:val="18"/>
                <w:szCs w:val="18"/>
                <w:lang w:val="en-US"/>
              </w:rPr>
              <w:t>fiind</w:t>
            </w:r>
            <w:proofErr w:type="spellEnd"/>
            <w:r w:rsidRPr="005C26D0">
              <w:rPr>
                <w:color w:val="000000"/>
                <w:sz w:val="18"/>
                <w:szCs w:val="18"/>
                <w:lang w:val="en-US"/>
              </w:rPr>
              <w:t xml:space="preserve"> </w:t>
            </w:r>
            <w:proofErr w:type="spellStart"/>
            <w:r w:rsidRPr="005C26D0">
              <w:rPr>
                <w:color w:val="000000"/>
                <w:sz w:val="18"/>
                <w:szCs w:val="18"/>
                <w:lang w:val="en-US"/>
              </w:rPr>
              <w:t>bazați</w:t>
            </w:r>
            <w:proofErr w:type="spellEnd"/>
            <w:r w:rsidRPr="005C26D0">
              <w:rPr>
                <w:color w:val="000000"/>
                <w:sz w:val="18"/>
                <w:szCs w:val="18"/>
                <w:lang w:val="en-US"/>
              </w:rPr>
              <w:t xml:space="preserve"> pe </w:t>
            </w:r>
            <w:proofErr w:type="spellStart"/>
            <w:r w:rsidRPr="005C26D0">
              <w:rPr>
                <w:color w:val="000000"/>
                <w:sz w:val="18"/>
                <w:szCs w:val="18"/>
                <w:lang w:val="en-US"/>
              </w:rPr>
              <w:t>majorările</w:t>
            </w:r>
            <w:proofErr w:type="spellEnd"/>
            <w:r w:rsidRPr="005C26D0">
              <w:rPr>
                <w:color w:val="000000"/>
                <w:sz w:val="18"/>
                <w:szCs w:val="18"/>
                <w:lang w:val="en-US"/>
              </w:rPr>
              <w:t xml:space="preserve"> per </w:t>
            </w:r>
            <w:proofErr w:type="spellStart"/>
            <w:r w:rsidRPr="005C26D0">
              <w:rPr>
                <w:color w:val="000000"/>
                <w:sz w:val="18"/>
                <w:szCs w:val="18"/>
                <w:lang w:val="en-US"/>
              </w:rPr>
              <w:t>categorie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calculate </w:t>
            </w:r>
            <w:proofErr w:type="spellStart"/>
            <w:r w:rsidRPr="005C26D0">
              <w:rPr>
                <w:color w:val="000000"/>
                <w:sz w:val="18"/>
                <w:szCs w:val="18"/>
                <w:lang w:val="en-US"/>
              </w:rPr>
              <w:t>în</w:t>
            </w:r>
            <w:proofErr w:type="spellEnd"/>
            <w:r w:rsidRPr="005C26D0">
              <w:rPr>
                <w:color w:val="000000"/>
                <w:sz w:val="18"/>
                <w:szCs w:val="18"/>
                <w:lang w:val="en-US"/>
              </w:rPr>
              <w:t xml:space="preserve"> </w:t>
            </w:r>
            <w:proofErr w:type="spellStart"/>
            <w:r w:rsidRPr="005C26D0">
              <w:rPr>
                <w:color w:val="000000"/>
                <w:sz w:val="18"/>
                <w:szCs w:val="18"/>
                <w:lang w:val="en-US"/>
              </w:rPr>
              <w:t>conformitate</w:t>
            </w:r>
            <w:proofErr w:type="spellEnd"/>
            <w:r w:rsidRPr="005C26D0">
              <w:rPr>
                <w:color w:val="000000"/>
                <w:sz w:val="18"/>
                <w:szCs w:val="18"/>
                <w:lang w:val="en-US"/>
              </w:rPr>
              <w:t xml:space="preserve"> cu </w:t>
            </w:r>
            <w:proofErr w:type="spellStart"/>
            <w:r w:rsidRPr="005C26D0">
              <w:rPr>
                <w:color w:val="000000"/>
                <w:sz w:val="18"/>
                <w:szCs w:val="18"/>
                <w:lang w:val="en-US"/>
              </w:rPr>
              <w:t>litera</w:t>
            </w:r>
            <w:proofErr w:type="spellEnd"/>
            <w:r w:rsidRPr="005C26D0">
              <w:rPr>
                <w:color w:val="000000"/>
                <w:sz w:val="18"/>
                <w:szCs w:val="18"/>
                <w:lang w:val="en-US"/>
              </w:rPr>
              <w:t xml:space="preserve"> (a) de la </w:t>
            </w:r>
            <w:proofErr w:type="spellStart"/>
            <w:r w:rsidRPr="005C26D0">
              <w:rPr>
                <w:color w:val="000000"/>
                <w:sz w:val="18"/>
                <w:szCs w:val="18"/>
                <w:lang w:val="en-US"/>
              </w:rPr>
              <w:t>prezentul</w:t>
            </w:r>
            <w:proofErr w:type="spellEnd"/>
            <w:r w:rsidRPr="005C26D0">
              <w:rPr>
                <w:color w:val="000000"/>
                <w:sz w:val="18"/>
                <w:szCs w:val="18"/>
                <w:lang w:val="en-US"/>
              </w:rPr>
              <w:t xml:space="preserve"> </w:t>
            </w:r>
            <w:proofErr w:type="spellStart"/>
            <w:proofErr w:type="gramStart"/>
            <w:r w:rsidRPr="005C26D0">
              <w:rPr>
                <w:color w:val="000000"/>
                <w:sz w:val="18"/>
                <w:szCs w:val="18"/>
                <w:lang w:val="en-US"/>
              </w:rPr>
              <w:t>alineat</w:t>
            </w:r>
            <w:proofErr w:type="spellEnd"/>
            <w:r w:rsidRPr="005C26D0">
              <w:rPr>
                <w:color w:val="000000"/>
                <w:sz w:val="18"/>
                <w:szCs w:val="18"/>
                <w:lang w:val="en-US"/>
              </w:rPr>
              <w:t>;</w:t>
            </w:r>
            <w:proofErr w:type="gramEnd"/>
          </w:p>
          <w:p w14:paraId="651EB0A0" w14:textId="6FCA6E9D" w:rsidR="002D6B17" w:rsidRPr="005C26D0" w:rsidRDefault="002D6B17" w:rsidP="002D6B17">
            <w:pPr>
              <w:shd w:val="clear" w:color="auto" w:fill="FFFFFF"/>
              <w:rPr>
                <w:color w:val="000000"/>
                <w:sz w:val="18"/>
                <w:szCs w:val="18"/>
                <w:lang w:val="en-US"/>
              </w:rPr>
            </w:pPr>
            <w:r w:rsidRPr="005C26D0">
              <w:rPr>
                <w:color w:val="000000"/>
                <w:sz w:val="18"/>
                <w:szCs w:val="18"/>
                <w:lang w:val="en-US"/>
              </w:rPr>
              <w:t>(c) </w:t>
            </w:r>
            <w:proofErr w:type="spellStart"/>
            <w:r w:rsidRPr="005C26D0">
              <w:rPr>
                <w:color w:val="000000"/>
                <w:sz w:val="18"/>
                <w:szCs w:val="18"/>
                <w:lang w:val="en-US"/>
              </w:rPr>
              <w:t>stabilesc</w:t>
            </w:r>
            <w:proofErr w:type="spellEnd"/>
            <w:r w:rsidRPr="005C26D0">
              <w:rPr>
                <w:color w:val="000000"/>
                <w:sz w:val="18"/>
                <w:szCs w:val="18"/>
                <w:lang w:val="en-US"/>
              </w:rPr>
              <w:t xml:space="preserve">, ca </w:t>
            </w:r>
            <w:proofErr w:type="spellStart"/>
            <w:r w:rsidRPr="005C26D0">
              <w:rPr>
                <w:color w:val="000000"/>
                <w:sz w:val="18"/>
                <w:szCs w:val="18"/>
                <w:lang w:val="en-US"/>
              </w:rPr>
              <w:t>fiind</w:t>
            </w:r>
            <w:proofErr w:type="spellEnd"/>
            <w:r w:rsidRPr="005C26D0">
              <w:rPr>
                <w:color w:val="000000"/>
                <w:sz w:val="18"/>
                <w:szCs w:val="18"/>
                <w:lang w:val="en-US"/>
              </w:rPr>
              <w:t xml:space="preserve"> </w:t>
            </w:r>
            <w:proofErr w:type="spellStart"/>
            <w:r w:rsidRPr="005C26D0">
              <w:rPr>
                <w:color w:val="000000"/>
                <w:sz w:val="18"/>
                <w:szCs w:val="18"/>
                <w:lang w:val="en-US"/>
              </w:rPr>
              <w:t>cei</w:t>
            </w:r>
            <w:proofErr w:type="spellEnd"/>
            <w:r w:rsidRPr="005C26D0">
              <w:rPr>
                <w:color w:val="000000"/>
                <w:sz w:val="18"/>
                <w:szCs w:val="18"/>
                <w:lang w:val="en-US"/>
              </w:rPr>
              <w:t xml:space="preserve"> </w:t>
            </w:r>
            <w:proofErr w:type="spellStart"/>
            <w:r w:rsidRPr="005C26D0">
              <w:rPr>
                <w:color w:val="000000"/>
                <w:sz w:val="18"/>
                <w:szCs w:val="18"/>
                <w:lang w:val="en-US"/>
              </w:rPr>
              <w:t>mai</w:t>
            </w:r>
            <w:proofErr w:type="spellEnd"/>
            <w:r w:rsidRPr="005C26D0">
              <w:rPr>
                <w:color w:val="000000"/>
                <w:sz w:val="18"/>
                <w:szCs w:val="18"/>
                <w:lang w:val="en-US"/>
              </w:rPr>
              <w:t xml:space="preserve"> </w:t>
            </w:r>
            <w:proofErr w:type="spellStart"/>
            <w:r w:rsidRPr="005C26D0">
              <w:rPr>
                <w:color w:val="000000"/>
                <w:sz w:val="18"/>
                <w:szCs w:val="18"/>
                <w:lang w:val="en-US"/>
              </w:rPr>
              <w:t>semnificativi</w:t>
            </w:r>
            <w:proofErr w:type="spellEnd"/>
            <w:r w:rsidRPr="005C26D0">
              <w:rPr>
                <w:color w:val="000000"/>
                <w:sz w:val="18"/>
                <w:szCs w:val="18"/>
                <w:lang w:val="en-US"/>
              </w:rPr>
              <w:t xml:space="preserve"> </w:t>
            </w:r>
            <w:proofErr w:type="spellStart"/>
            <w:r w:rsidRPr="005C26D0">
              <w:rPr>
                <w:color w:val="000000"/>
                <w:sz w:val="18"/>
                <w:szCs w:val="18"/>
                <w:lang w:val="en-US"/>
              </w:rPr>
              <w:t>determinanți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din </w:t>
            </w:r>
            <w:proofErr w:type="spellStart"/>
            <w:r w:rsidRPr="005C26D0">
              <w:rPr>
                <w:color w:val="000000"/>
                <w:sz w:val="18"/>
                <w:szCs w:val="18"/>
                <w:lang w:val="en-US"/>
              </w:rPr>
              <w:t>categoriile</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relevante</w:t>
            </w:r>
            <w:proofErr w:type="spellEnd"/>
            <w:r w:rsidRPr="005C26D0">
              <w:rPr>
                <w:color w:val="000000"/>
                <w:sz w:val="18"/>
                <w:szCs w:val="18"/>
                <w:lang w:val="en-US"/>
              </w:rPr>
              <w:t xml:space="preserve">, </w:t>
            </w:r>
            <w:proofErr w:type="spellStart"/>
            <w:r w:rsidRPr="005C26D0">
              <w:rPr>
                <w:color w:val="000000"/>
                <w:sz w:val="18"/>
                <w:szCs w:val="18"/>
                <w:lang w:val="en-US"/>
              </w:rPr>
              <w:t>determinanții</w:t>
            </w:r>
            <w:proofErr w:type="spellEnd"/>
            <w:r w:rsidRPr="005C26D0">
              <w:rPr>
                <w:color w:val="000000"/>
                <w:sz w:val="18"/>
                <w:szCs w:val="18"/>
                <w:lang w:val="en-US"/>
              </w:rPr>
              <w:t xml:space="preserve"> de </w:t>
            </w:r>
            <w:proofErr w:type="spellStart"/>
            <w:r w:rsidRPr="005C26D0">
              <w:rPr>
                <w:color w:val="000000"/>
                <w:sz w:val="18"/>
                <w:szCs w:val="18"/>
                <w:lang w:val="en-US"/>
              </w:rPr>
              <w:t>risc</w:t>
            </w:r>
            <w:proofErr w:type="spellEnd"/>
            <w:r w:rsidRPr="005C26D0">
              <w:rPr>
                <w:color w:val="000000"/>
                <w:sz w:val="18"/>
                <w:szCs w:val="18"/>
                <w:lang w:val="en-US"/>
              </w:rPr>
              <w:t xml:space="preserve"> </w:t>
            </w:r>
            <w:proofErr w:type="spellStart"/>
            <w:r w:rsidRPr="005C26D0">
              <w:rPr>
                <w:color w:val="000000"/>
                <w:sz w:val="18"/>
                <w:szCs w:val="18"/>
                <w:lang w:val="en-US"/>
              </w:rPr>
              <w:t>semnificativi</w:t>
            </w:r>
            <w:proofErr w:type="spellEnd"/>
            <w:r w:rsidRPr="005C26D0">
              <w:rPr>
                <w:color w:val="000000"/>
                <w:sz w:val="18"/>
                <w:szCs w:val="18"/>
                <w:lang w:val="en-US"/>
              </w:rPr>
              <w:t xml:space="preserve"> </w:t>
            </w:r>
            <w:proofErr w:type="spellStart"/>
            <w:r w:rsidRPr="005C26D0">
              <w:rPr>
                <w:color w:val="000000"/>
                <w:sz w:val="18"/>
                <w:szCs w:val="18"/>
                <w:lang w:val="en-US"/>
              </w:rPr>
              <w:t>identificați</w:t>
            </w:r>
            <w:proofErr w:type="spellEnd"/>
            <w:r w:rsidRPr="005C26D0">
              <w:rPr>
                <w:color w:val="000000"/>
                <w:sz w:val="18"/>
                <w:szCs w:val="18"/>
                <w:lang w:val="en-US"/>
              </w:rPr>
              <w:t xml:space="preserve"> </w:t>
            </w:r>
            <w:proofErr w:type="spellStart"/>
            <w:r w:rsidRPr="005C26D0">
              <w:rPr>
                <w:color w:val="000000"/>
                <w:sz w:val="18"/>
                <w:szCs w:val="18"/>
                <w:lang w:val="en-US"/>
              </w:rPr>
              <w:t>prin</w:t>
            </w:r>
            <w:proofErr w:type="spellEnd"/>
            <w:r w:rsidRPr="005C26D0">
              <w:rPr>
                <w:color w:val="000000"/>
                <w:sz w:val="18"/>
                <w:szCs w:val="18"/>
                <w:lang w:val="en-US"/>
              </w:rPr>
              <w:t xml:space="preserve"> </w:t>
            </w:r>
            <w:proofErr w:type="spellStart"/>
            <w:r w:rsidRPr="005C26D0">
              <w:rPr>
                <w:color w:val="000000"/>
                <w:sz w:val="18"/>
                <w:szCs w:val="18"/>
                <w:lang w:val="en-US"/>
              </w:rPr>
              <w:t>metoda</w:t>
            </w:r>
            <w:proofErr w:type="spellEnd"/>
            <w:r w:rsidRPr="005C26D0">
              <w:rPr>
                <w:color w:val="000000"/>
                <w:sz w:val="18"/>
                <w:szCs w:val="18"/>
                <w:lang w:val="en-US"/>
              </w:rPr>
              <w:t xml:space="preserve"> </w:t>
            </w:r>
            <w:proofErr w:type="spellStart"/>
            <w:r w:rsidRPr="005C26D0">
              <w:rPr>
                <w:color w:val="000000"/>
                <w:sz w:val="18"/>
                <w:szCs w:val="18"/>
                <w:lang w:val="en-US"/>
              </w:rPr>
              <w:t>menționată</w:t>
            </w:r>
            <w:proofErr w:type="spellEnd"/>
            <w:r w:rsidRPr="005C26D0">
              <w:rPr>
                <w:color w:val="000000"/>
                <w:sz w:val="18"/>
                <w:szCs w:val="18"/>
                <w:lang w:val="en-US"/>
              </w:rPr>
              <w:t xml:space="preserve"> la </w:t>
            </w:r>
            <w:proofErr w:type="spellStart"/>
            <w:r w:rsidRPr="005C26D0">
              <w:rPr>
                <w:color w:val="000000"/>
                <w:sz w:val="18"/>
                <w:szCs w:val="18"/>
                <w:lang w:val="en-US"/>
              </w:rPr>
              <w:t>litera</w:t>
            </w:r>
            <w:proofErr w:type="spellEnd"/>
            <w:r w:rsidRPr="005C26D0">
              <w:rPr>
                <w:color w:val="000000"/>
                <w:sz w:val="18"/>
                <w:szCs w:val="18"/>
                <w:lang w:val="en-US"/>
              </w:rPr>
              <w:t xml:space="preserve"> (b).</w:t>
            </w:r>
          </w:p>
          <w:p w14:paraId="59727226" w14:textId="77777777" w:rsidR="002D6B17" w:rsidRPr="005C26D0" w:rsidRDefault="002D6B17" w:rsidP="002D6B17">
            <w:pPr>
              <w:pStyle w:val="BodyTextIndent"/>
              <w:spacing w:before="0"/>
              <w:ind w:firstLine="0"/>
              <w:jc w:val="left"/>
              <w:rPr>
                <w:rFonts w:eastAsia="MS Mincho"/>
                <w:b/>
                <w:bCs/>
                <w:sz w:val="18"/>
                <w:szCs w:val="18"/>
                <w:lang w:val="ro-MD"/>
              </w:rPr>
            </w:pPr>
          </w:p>
        </w:tc>
        <w:tc>
          <w:tcPr>
            <w:tcW w:w="3685" w:type="dxa"/>
          </w:tcPr>
          <w:p w14:paraId="3938D42E" w14:textId="77777777" w:rsidR="002D6B17" w:rsidRPr="005C26D0" w:rsidRDefault="002D6B17" w:rsidP="002D6B17">
            <w:pPr>
              <w:jc w:val="center"/>
              <w:rPr>
                <w:i/>
                <w:iCs/>
                <w:sz w:val="18"/>
                <w:szCs w:val="18"/>
                <w:lang w:val="en-US"/>
              </w:rPr>
            </w:pPr>
            <w:proofErr w:type="spellStart"/>
            <w:r w:rsidRPr="005C26D0">
              <w:rPr>
                <w:i/>
                <w:iCs/>
                <w:sz w:val="18"/>
                <w:szCs w:val="18"/>
                <w:lang w:val="en-US"/>
              </w:rPr>
              <w:lastRenderedPageBreak/>
              <w:t>Secțiunea</w:t>
            </w:r>
            <w:proofErr w:type="spellEnd"/>
            <w:r w:rsidRPr="005C26D0">
              <w:rPr>
                <w:i/>
                <w:iCs/>
                <w:sz w:val="18"/>
                <w:szCs w:val="18"/>
                <w:lang w:val="en-US"/>
              </w:rPr>
              <w:t xml:space="preserve"> a 4-a</w:t>
            </w:r>
          </w:p>
          <w:p w14:paraId="5430C073" w14:textId="77777777" w:rsidR="002D6B17" w:rsidRPr="005C26D0" w:rsidRDefault="002D6B17" w:rsidP="002D6B17">
            <w:pPr>
              <w:jc w:val="center"/>
              <w:rPr>
                <w:b/>
                <w:bCs/>
                <w:sz w:val="18"/>
                <w:szCs w:val="18"/>
                <w:lang w:val="en-US"/>
              </w:rPr>
            </w:pPr>
            <w:proofErr w:type="spellStart"/>
            <w:r w:rsidRPr="005C26D0">
              <w:rPr>
                <w:b/>
                <w:bCs/>
                <w:sz w:val="18"/>
                <w:szCs w:val="18"/>
                <w:lang w:val="en-US"/>
              </w:rPr>
              <w:t>Metoda</w:t>
            </w:r>
            <w:proofErr w:type="spellEnd"/>
            <w:r w:rsidRPr="005C26D0">
              <w:rPr>
                <w:b/>
                <w:bCs/>
                <w:sz w:val="18"/>
                <w:szCs w:val="18"/>
                <w:lang w:val="en-US"/>
              </w:rPr>
              <w:t xml:space="preserve"> de </w:t>
            </w:r>
            <w:proofErr w:type="spellStart"/>
            <w:r w:rsidRPr="005C26D0">
              <w:rPr>
                <w:b/>
                <w:bCs/>
                <w:sz w:val="18"/>
                <w:szCs w:val="18"/>
                <w:lang w:val="en-US"/>
              </w:rPr>
              <w:t>identificare</w:t>
            </w:r>
            <w:proofErr w:type="spellEnd"/>
            <w:r w:rsidRPr="005C26D0">
              <w:rPr>
                <w:b/>
                <w:bCs/>
                <w:sz w:val="18"/>
                <w:szCs w:val="18"/>
                <w:lang w:val="en-US"/>
              </w:rPr>
              <w:t xml:space="preserve"> a </w:t>
            </w:r>
            <w:proofErr w:type="spellStart"/>
            <w:r w:rsidRPr="005C26D0">
              <w:rPr>
                <w:b/>
                <w:bCs/>
                <w:sz w:val="18"/>
                <w:szCs w:val="18"/>
                <w:lang w:val="en-US"/>
              </w:rPr>
              <w:t>determinanților</w:t>
            </w:r>
            <w:proofErr w:type="spellEnd"/>
            <w:r w:rsidRPr="005C26D0">
              <w:rPr>
                <w:b/>
                <w:bCs/>
                <w:sz w:val="18"/>
                <w:szCs w:val="18"/>
                <w:lang w:val="en-US"/>
              </w:rPr>
              <w:t xml:space="preserve">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semnificativi</w:t>
            </w:r>
            <w:proofErr w:type="spellEnd"/>
            <w:r w:rsidRPr="005C26D0">
              <w:rPr>
                <w:b/>
                <w:bCs/>
                <w:sz w:val="18"/>
                <w:szCs w:val="18"/>
                <w:lang w:val="en-US"/>
              </w:rPr>
              <w:t xml:space="preserve"> </w:t>
            </w:r>
            <w:proofErr w:type="spellStart"/>
            <w:r w:rsidRPr="005C26D0">
              <w:rPr>
                <w:b/>
                <w:bCs/>
                <w:sz w:val="18"/>
                <w:szCs w:val="18"/>
                <w:lang w:val="en-US"/>
              </w:rPr>
              <w:t>și</w:t>
            </w:r>
            <w:proofErr w:type="spellEnd"/>
            <w:r w:rsidRPr="005C26D0">
              <w:rPr>
                <w:b/>
                <w:bCs/>
                <w:sz w:val="18"/>
                <w:szCs w:val="18"/>
                <w:lang w:val="en-US"/>
              </w:rPr>
              <w:t xml:space="preserve"> a </w:t>
            </w:r>
            <w:proofErr w:type="spellStart"/>
            <w:r w:rsidRPr="005C26D0">
              <w:rPr>
                <w:b/>
                <w:bCs/>
                <w:sz w:val="18"/>
                <w:szCs w:val="18"/>
                <w:lang w:val="en-US"/>
              </w:rPr>
              <w:t>celui</w:t>
            </w:r>
            <w:proofErr w:type="spellEnd"/>
            <w:r w:rsidRPr="005C26D0">
              <w:rPr>
                <w:b/>
                <w:bCs/>
                <w:sz w:val="18"/>
                <w:szCs w:val="18"/>
                <w:lang w:val="en-US"/>
              </w:rPr>
              <w:t xml:space="preserve"> </w:t>
            </w:r>
            <w:proofErr w:type="spellStart"/>
            <w:r w:rsidRPr="005C26D0">
              <w:rPr>
                <w:b/>
                <w:bCs/>
                <w:sz w:val="18"/>
                <w:szCs w:val="18"/>
                <w:lang w:val="en-US"/>
              </w:rPr>
              <w:t>mai</w:t>
            </w:r>
            <w:proofErr w:type="spellEnd"/>
            <w:r w:rsidRPr="005C26D0">
              <w:rPr>
                <w:b/>
                <w:bCs/>
                <w:sz w:val="18"/>
                <w:szCs w:val="18"/>
                <w:lang w:val="en-US"/>
              </w:rPr>
              <w:t xml:space="preserve"> </w:t>
            </w:r>
            <w:proofErr w:type="spellStart"/>
            <w:r w:rsidRPr="005C26D0">
              <w:rPr>
                <w:b/>
                <w:bCs/>
                <w:sz w:val="18"/>
                <w:szCs w:val="18"/>
                <w:lang w:val="en-US"/>
              </w:rPr>
              <w:t>semnificativ</w:t>
            </w:r>
            <w:proofErr w:type="spellEnd"/>
            <w:r w:rsidRPr="005C26D0">
              <w:rPr>
                <w:b/>
                <w:bCs/>
                <w:sz w:val="18"/>
                <w:szCs w:val="18"/>
                <w:lang w:val="en-US"/>
              </w:rPr>
              <w:t xml:space="preserve"> </w:t>
            </w:r>
            <w:proofErr w:type="spellStart"/>
            <w:r w:rsidRPr="005C26D0">
              <w:rPr>
                <w:b/>
                <w:bCs/>
                <w:sz w:val="18"/>
                <w:szCs w:val="18"/>
                <w:lang w:val="en-US"/>
              </w:rPr>
              <w:t>dintre</w:t>
            </w:r>
            <w:proofErr w:type="spellEnd"/>
            <w:r w:rsidRPr="005C26D0">
              <w:rPr>
                <w:b/>
                <w:bCs/>
                <w:sz w:val="18"/>
                <w:szCs w:val="18"/>
                <w:lang w:val="en-US"/>
              </w:rPr>
              <w:t xml:space="preserve"> </w:t>
            </w:r>
            <w:proofErr w:type="spellStart"/>
            <w:r w:rsidRPr="005C26D0">
              <w:rPr>
                <w:b/>
                <w:bCs/>
                <w:sz w:val="18"/>
                <w:szCs w:val="18"/>
                <w:lang w:val="en-US"/>
              </w:rPr>
              <w:t>determinanții</w:t>
            </w:r>
            <w:proofErr w:type="spellEnd"/>
            <w:r w:rsidRPr="005C26D0">
              <w:rPr>
                <w:b/>
                <w:bCs/>
                <w:sz w:val="18"/>
                <w:szCs w:val="18"/>
                <w:lang w:val="en-US"/>
              </w:rPr>
              <w:t xml:space="preserve"> de </w:t>
            </w:r>
            <w:proofErr w:type="spellStart"/>
            <w:r w:rsidRPr="005C26D0">
              <w:rPr>
                <w:b/>
                <w:bCs/>
                <w:sz w:val="18"/>
                <w:szCs w:val="18"/>
                <w:lang w:val="en-US"/>
              </w:rPr>
              <w:t>risc</w:t>
            </w:r>
            <w:proofErr w:type="spellEnd"/>
            <w:r w:rsidRPr="005C26D0">
              <w:rPr>
                <w:b/>
                <w:bCs/>
                <w:sz w:val="18"/>
                <w:szCs w:val="18"/>
                <w:lang w:val="en-US"/>
              </w:rPr>
              <w:t xml:space="preserve"> </w:t>
            </w:r>
            <w:proofErr w:type="spellStart"/>
            <w:r w:rsidRPr="005C26D0">
              <w:rPr>
                <w:b/>
                <w:bCs/>
                <w:sz w:val="18"/>
                <w:szCs w:val="18"/>
                <w:lang w:val="en-US"/>
              </w:rPr>
              <w:t>respectivi</w:t>
            </w:r>
            <w:proofErr w:type="spellEnd"/>
          </w:p>
          <w:p w14:paraId="6D53F083" w14:textId="77777777" w:rsidR="002D6B17" w:rsidRPr="005C26D0" w:rsidRDefault="002D6B17" w:rsidP="002D6B17">
            <w:pPr>
              <w:rPr>
                <w:sz w:val="18"/>
                <w:szCs w:val="18"/>
                <w:lang w:val="en-US"/>
              </w:rPr>
            </w:pPr>
            <w:r w:rsidRPr="005C26D0">
              <w:rPr>
                <w:b/>
                <w:bCs/>
                <w:sz w:val="18"/>
                <w:szCs w:val="18"/>
                <w:lang w:val="en-US"/>
              </w:rPr>
              <w:t>6.</w:t>
            </w:r>
            <w:r w:rsidRPr="005C26D0">
              <w:rPr>
                <w:sz w:val="18"/>
                <w:szCs w:val="18"/>
                <w:lang w:val="en-US"/>
              </w:rPr>
              <w:t xml:space="preserve"> </w:t>
            </w:r>
            <w:proofErr w:type="spellStart"/>
            <w:r w:rsidRPr="005C26D0">
              <w:rPr>
                <w:sz w:val="18"/>
                <w:szCs w:val="18"/>
                <w:lang w:val="en-US"/>
              </w:rPr>
              <w:t>După</w:t>
            </w:r>
            <w:proofErr w:type="spellEnd"/>
            <w:r w:rsidRPr="005C26D0">
              <w:rPr>
                <w:sz w:val="18"/>
                <w:szCs w:val="18"/>
                <w:lang w:val="en-US"/>
              </w:rPr>
              <w:t xml:space="preserve"> </w:t>
            </w:r>
            <w:proofErr w:type="spellStart"/>
            <w:r w:rsidRPr="005C26D0">
              <w:rPr>
                <w:sz w:val="18"/>
                <w:szCs w:val="18"/>
                <w:lang w:val="en-US"/>
              </w:rPr>
              <w:t>identificarea</w:t>
            </w:r>
            <w:proofErr w:type="spellEnd"/>
            <w:r w:rsidRPr="005C26D0">
              <w:rPr>
                <w:sz w:val="18"/>
                <w:szCs w:val="18"/>
                <w:lang w:val="en-US"/>
              </w:rPr>
              <w:t xml:space="preserve"> </w:t>
            </w:r>
            <w:proofErr w:type="spellStart"/>
            <w:r w:rsidRPr="005C26D0">
              <w:rPr>
                <w:sz w:val="18"/>
                <w:szCs w:val="18"/>
                <w:lang w:val="en-US"/>
              </w:rPr>
              <w:t>tuturor</w:t>
            </w:r>
            <w:proofErr w:type="spellEnd"/>
            <w:r w:rsidRPr="005C26D0">
              <w:rPr>
                <w:sz w:val="18"/>
                <w:szCs w:val="18"/>
                <w:lang w:val="en-US"/>
              </w:rPr>
              <w:t xml:space="preserve"> </w:t>
            </w:r>
            <w:proofErr w:type="spellStart"/>
            <w:r w:rsidRPr="005C26D0">
              <w:rPr>
                <w:sz w:val="18"/>
                <w:szCs w:val="18"/>
                <w:lang w:val="en-US"/>
              </w:rPr>
              <w:t>determinanților</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ai </w:t>
            </w:r>
            <w:proofErr w:type="spellStart"/>
            <w:r w:rsidRPr="005C26D0">
              <w:rPr>
                <w:sz w:val="18"/>
                <w:szCs w:val="18"/>
                <w:lang w:val="en-US"/>
              </w:rPr>
              <w:t>unei</w:t>
            </w:r>
            <w:proofErr w:type="spellEnd"/>
            <w:r w:rsidRPr="005C26D0">
              <w:rPr>
                <w:sz w:val="18"/>
                <w:szCs w:val="18"/>
                <w:lang w:val="en-US"/>
              </w:rPr>
              <w:t xml:space="preserve"> </w:t>
            </w:r>
            <w:proofErr w:type="spellStart"/>
            <w:r w:rsidRPr="005C26D0">
              <w:rPr>
                <w:sz w:val="18"/>
                <w:szCs w:val="18"/>
                <w:lang w:val="en-US"/>
              </w:rPr>
              <w:t>tranzacții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punctele</w:t>
            </w:r>
            <w:proofErr w:type="spellEnd"/>
            <w:r w:rsidRPr="005C26D0">
              <w:rPr>
                <w:sz w:val="18"/>
                <w:szCs w:val="18"/>
                <w:lang w:val="en-US"/>
              </w:rPr>
              <w:t xml:space="preserve"> 1 </w:t>
            </w:r>
            <w:proofErr w:type="spellStart"/>
            <w:r w:rsidRPr="005C26D0">
              <w:rPr>
                <w:sz w:val="18"/>
                <w:szCs w:val="18"/>
                <w:lang w:val="en-US"/>
              </w:rPr>
              <w:t>și</w:t>
            </w:r>
            <w:proofErr w:type="spellEnd"/>
            <w:r w:rsidRPr="005C26D0">
              <w:rPr>
                <w:sz w:val="18"/>
                <w:szCs w:val="18"/>
                <w:lang w:val="en-US"/>
              </w:rPr>
              <w:t xml:space="preserve"> 2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cazul</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care </w:t>
            </w:r>
            <w:proofErr w:type="spellStart"/>
            <w:r w:rsidRPr="005C26D0">
              <w:rPr>
                <w:sz w:val="18"/>
                <w:szCs w:val="18"/>
                <w:lang w:val="en-US"/>
              </w:rPr>
              <w:t>fluxurile</w:t>
            </w:r>
            <w:proofErr w:type="spellEnd"/>
            <w:r w:rsidRPr="005C26D0">
              <w:rPr>
                <w:sz w:val="18"/>
                <w:szCs w:val="18"/>
                <w:lang w:val="en-US"/>
              </w:rPr>
              <w:t xml:space="preserve"> de </w:t>
            </w:r>
            <w:proofErr w:type="spellStart"/>
            <w:r w:rsidRPr="005C26D0">
              <w:rPr>
                <w:sz w:val="18"/>
                <w:szCs w:val="18"/>
                <w:lang w:val="en-US"/>
              </w:rPr>
              <w:t>trezorerie</w:t>
            </w:r>
            <w:proofErr w:type="spellEnd"/>
            <w:r w:rsidRPr="005C26D0">
              <w:rPr>
                <w:sz w:val="18"/>
                <w:szCs w:val="18"/>
                <w:lang w:val="en-US"/>
              </w:rPr>
              <w:t xml:space="preserve"> ale </w:t>
            </w:r>
            <w:proofErr w:type="spellStart"/>
            <w:r w:rsidRPr="005C26D0">
              <w:rPr>
                <w:sz w:val="18"/>
                <w:szCs w:val="18"/>
                <w:lang w:val="en-US"/>
              </w:rPr>
              <w:t>tranzacției</w:t>
            </w:r>
            <w:proofErr w:type="spellEnd"/>
            <w:r w:rsidRPr="005C26D0">
              <w:rPr>
                <w:sz w:val="18"/>
                <w:szCs w:val="18"/>
                <w:lang w:val="en-US"/>
              </w:rPr>
              <w:t xml:space="preserve"> </w:t>
            </w:r>
            <w:proofErr w:type="spellStart"/>
            <w:r w:rsidRPr="005C26D0">
              <w:rPr>
                <w:sz w:val="18"/>
                <w:szCs w:val="18"/>
                <w:lang w:val="en-US"/>
              </w:rPr>
              <w:t>depind</w:t>
            </w:r>
            <w:proofErr w:type="spellEnd"/>
            <w:r w:rsidRPr="005C26D0">
              <w:rPr>
                <w:sz w:val="18"/>
                <w:szCs w:val="18"/>
                <w:lang w:val="en-US"/>
              </w:rPr>
              <w:t xml:space="preserve"> de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mult</w:t>
            </w:r>
            <w:proofErr w:type="spellEnd"/>
            <w:r w:rsidRPr="005C26D0">
              <w:rPr>
                <w:sz w:val="18"/>
                <w:szCs w:val="18"/>
                <w:lang w:val="en-US"/>
              </w:rPr>
              <w:t xml:space="preserve"> de un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identifică</w:t>
            </w:r>
            <w:proofErr w:type="spellEnd"/>
            <w:r w:rsidRPr="005C26D0">
              <w:rPr>
                <w:sz w:val="18"/>
                <w:szCs w:val="18"/>
                <w:lang w:val="en-US"/>
              </w:rPr>
              <w:t xml:space="preserv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semnificativi</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pe cel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w:t>
            </w:r>
            <w:proofErr w:type="spellStart"/>
            <w:r w:rsidRPr="005C26D0">
              <w:rPr>
                <w:sz w:val="18"/>
                <w:szCs w:val="18"/>
                <w:lang w:val="en-US"/>
              </w:rPr>
              <w:t>dintre</w:t>
            </w:r>
            <w:proofErr w:type="spellEnd"/>
            <w:r w:rsidRPr="005C26D0">
              <w:rPr>
                <w:sz w:val="18"/>
                <w:szCs w:val="18"/>
                <w:lang w:val="en-US"/>
              </w:rPr>
              <w:t xml:space="preserve"> </w:t>
            </w:r>
            <w:proofErr w:type="spellStart"/>
            <w:r w:rsidRPr="005C26D0">
              <w:rPr>
                <w:sz w:val="18"/>
                <w:szCs w:val="18"/>
                <w:lang w:val="en-US"/>
              </w:rPr>
              <w:t>respectivii</w:t>
            </w:r>
            <w:proofErr w:type="spellEnd"/>
            <w:r w:rsidRPr="005C26D0">
              <w:rPr>
                <w:sz w:val="18"/>
                <w:szCs w:val="18"/>
                <w:lang w:val="en-US"/>
              </w:rPr>
              <w:t xml:space="preserve"> </w:t>
            </w:r>
            <w:proofErr w:type="spellStart"/>
            <w:r w:rsidRPr="005C26D0">
              <w:rPr>
                <w:sz w:val="18"/>
                <w:szCs w:val="18"/>
                <w:lang w:val="en-US"/>
              </w:rPr>
              <w:t>determinanți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prin</w:t>
            </w:r>
            <w:proofErr w:type="spellEnd"/>
            <w:r w:rsidRPr="005C26D0">
              <w:rPr>
                <w:sz w:val="18"/>
                <w:szCs w:val="18"/>
                <w:lang w:val="en-US"/>
              </w:rPr>
              <w:t xml:space="preserve"> </w:t>
            </w:r>
            <w:proofErr w:type="spellStart"/>
            <w:r w:rsidRPr="005C26D0">
              <w:rPr>
                <w:sz w:val="18"/>
                <w:szCs w:val="18"/>
                <w:lang w:val="en-US"/>
              </w:rPr>
              <w:t>aplicarea</w:t>
            </w:r>
            <w:proofErr w:type="spellEnd"/>
            <w:r w:rsidRPr="005C26D0">
              <w:rPr>
                <w:sz w:val="18"/>
                <w:szCs w:val="18"/>
                <w:lang w:val="en-US"/>
              </w:rPr>
              <w:t xml:space="preserve"> </w:t>
            </w:r>
            <w:proofErr w:type="spellStart"/>
            <w:r w:rsidRPr="005C26D0">
              <w:rPr>
                <w:sz w:val="18"/>
                <w:szCs w:val="18"/>
                <w:lang w:val="en-US"/>
              </w:rPr>
              <w:t>uneia</w:t>
            </w:r>
            <w:proofErr w:type="spellEnd"/>
            <w:r w:rsidRPr="005C26D0">
              <w:rPr>
                <w:sz w:val="18"/>
                <w:szCs w:val="18"/>
                <w:lang w:val="en-US"/>
              </w:rPr>
              <w:t xml:space="preserve"> </w:t>
            </w:r>
            <w:proofErr w:type="spellStart"/>
            <w:r w:rsidRPr="005C26D0">
              <w:rPr>
                <w:sz w:val="18"/>
                <w:szCs w:val="18"/>
                <w:lang w:val="en-US"/>
              </w:rPr>
              <w:t>dintre</w:t>
            </w:r>
            <w:proofErr w:type="spellEnd"/>
            <w:r w:rsidRPr="005C26D0">
              <w:rPr>
                <w:sz w:val="18"/>
                <w:szCs w:val="18"/>
                <w:lang w:val="en-US"/>
              </w:rPr>
              <w:t xml:space="preserve"> </w:t>
            </w:r>
            <w:proofErr w:type="spellStart"/>
            <w:r w:rsidRPr="005C26D0">
              <w:rPr>
                <w:sz w:val="18"/>
                <w:szCs w:val="18"/>
                <w:lang w:val="en-US"/>
              </w:rPr>
              <w:t>metodele</w:t>
            </w:r>
            <w:proofErr w:type="spellEnd"/>
            <w:r w:rsidRPr="005C26D0">
              <w:rPr>
                <w:sz w:val="18"/>
                <w:szCs w:val="18"/>
                <w:lang w:val="en-US"/>
              </w:rPr>
              <w:t xml:space="preserve"> </w:t>
            </w:r>
            <w:proofErr w:type="spellStart"/>
            <w:r w:rsidRPr="005C26D0">
              <w:rPr>
                <w:sz w:val="18"/>
                <w:szCs w:val="18"/>
                <w:lang w:val="en-US"/>
              </w:rPr>
              <w:t>prevăzute</w:t>
            </w:r>
            <w:proofErr w:type="spellEnd"/>
            <w:r w:rsidRPr="005C26D0">
              <w:rPr>
                <w:sz w:val="18"/>
                <w:szCs w:val="18"/>
                <w:lang w:val="en-US"/>
              </w:rPr>
              <w:t xml:space="preserve"> la </w:t>
            </w:r>
            <w:proofErr w:type="spellStart"/>
            <w:r w:rsidRPr="005C26D0">
              <w:rPr>
                <w:sz w:val="18"/>
                <w:szCs w:val="18"/>
                <w:lang w:val="en-US"/>
              </w:rPr>
              <w:t>punctele</w:t>
            </w:r>
            <w:proofErr w:type="spellEnd"/>
            <w:r w:rsidRPr="005C26D0">
              <w:rPr>
                <w:sz w:val="18"/>
                <w:szCs w:val="18"/>
                <w:lang w:val="en-US"/>
              </w:rPr>
              <w:t xml:space="preserve"> 7 – 9, </w:t>
            </w:r>
            <w:proofErr w:type="spellStart"/>
            <w:r w:rsidRPr="005C26D0">
              <w:rPr>
                <w:sz w:val="18"/>
                <w:szCs w:val="18"/>
                <w:lang w:val="en-US"/>
              </w:rPr>
              <w:t>după</w:t>
            </w:r>
            <w:proofErr w:type="spellEnd"/>
            <w:r w:rsidRPr="005C26D0">
              <w:rPr>
                <w:sz w:val="18"/>
                <w:szCs w:val="18"/>
                <w:lang w:val="en-US"/>
              </w:rPr>
              <w:t xml:space="preserve"> </w:t>
            </w:r>
            <w:proofErr w:type="spellStart"/>
            <w:r w:rsidRPr="005C26D0">
              <w:rPr>
                <w:sz w:val="18"/>
                <w:szCs w:val="18"/>
                <w:lang w:val="en-US"/>
              </w:rPr>
              <w:t>caz</w:t>
            </w:r>
            <w:proofErr w:type="spellEnd"/>
            <w:r w:rsidRPr="005C26D0">
              <w:rPr>
                <w:sz w:val="18"/>
                <w:szCs w:val="18"/>
                <w:lang w:val="en-US"/>
              </w:rPr>
              <w:t>.</w:t>
            </w:r>
          </w:p>
          <w:p w14:paraId="483ED1A4" w14:textId="77777777" w:rsidR="002D6B17" w:rsidRPr="005C26D0" w:rsidRDefault="002D6B17" w:rsidP="002D6B17">
            <w:pPr>
              <w:rPr>
                <w:sz w:val="18"/>
                <w:szCs w:val="18"/>
                <w:lang w:val="en-US"/>
              </w:rPr>
            </w:pPr>
            <w:r w:rsidRPr="005C26D0">
              <w:rPr>
                <w:b/>
                <w:bCs/>
                <w:sz w:val="18"/>
                <w:szCs w:val="18"/>
                <w:lang w:val="en-US"/>
              </w:rPr>
              <w:t>7.</w:t>
            </w:r>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aplică</w:t>
            </w:r>
            <w:proofErr w:type="spellEnd"/>
            <w:r w:rsidRPr="005C26D0">
              <w:rPr>
                <w:sz w:val="18"/>
                <w:szCs w:val="18"/>
                <w:lang w:val="en-US"/>
              </w:rPr>
              <w:t xml:space="preserve"> </w:t>
            </w:r>
            <w:proofErr w:type="spellStart"/>
            <w:r w:rsidRPr="005C26D0">
              <w:rPr>
                <w:sz w:val="18"/>
                <w:szCs w:val="18"/>
                <w:lang w:val="en-US"/>
              </w:rPr>
              <w:t>următoarele</w:t>
            </w:r>
            <w:proofErr w:type="spellEnd"/>
            <w:r w:rsidRPr="005C26D0">
              <w:rPr>
                <w:sz w:val="18"/>
                <w:szCs w:val="18"/>
                <w:lang w:val="en-US"/>
              </w:rPr>
              <w:t xml:space="preserve"> </w:t>
            </w:r>
            <w:proofErr w:type="spellStart"/>
            <w:r w:rsidRPr="005C26D0">
              <w:rPr>
                <w:sz w:val="18"/>
                <w:szCs w:val="18"/>
                <w:lang w:val="en-US"/>
              </w:rPr>
              <w:t>etape</w:t>
            </w:r>
            <w:proofErr w:type="spellEnd"/>
            <w:r w:rsidRPr="005C26D0">
              <w:rPr>
                <w:sz w:val="18"/>
                <w:szCs w:val="18"/>
                <w:lang w:val="en-US"/>
              </w:rPr>
              <w:t xml:space="preserve"> la </w:t>
            </w:r>
            <w:proofErr w:type="spellStart"/>
            <w:r w:rsidRPr="005C26D0">
              <w:rPr>
                <w:sz w:val="18"/>
                <w:szCs w:val="18"/>
                <w:lang w:val="en-US"/>
              </w:rPr>
              <w:t>inițierea</w:t>
            </w:r>
            <w:proofErr w:type="spellEnd"/>
            <w:r w:rsidRPr="005C26D0">
              <w:rPr>
                <w:sz w:val="18"/>
                <w:szCs w:val="18"/>
                <w:lang w:val="en-US"/>
              </w:rPr>
              <w:t xml:space="preserve"> </w:t>
            </w:r>
            <w:proofErr w:type="spellStart"/>
            <w:r w:rsidRPr="005C26D0">
              <w:rPr>
                <w:sz w:val="18"/>
                <w:szCs w:val="18"/>
                <w:lang w:val="en-US"/>
              </w:rPr>
              <w:t>tranzacției</w:t>
            </w:r>
            <w:proofErr w:type="spellEnd"/>
            <w:r w:rsidRPr="005C26D0">
              <w:rPr>
                <w:sz w:val="18"/>
                <w:szCs w:val="18"/>
                <w:lang w:val="en-US"/>
              </w:rPr>
              <w:t>:</w:t>
            </w:r>
          </w:p>
          <w:p w14:paraId="2CFD6AC1" w14:textId="77777777" w:rsidR="002D6B17" w:rsidRPr="005C26D0" w:rsidRDefault="002D6B17" w:rsidP="002D6B17">
            <w:pPr>
              <w:rPr>
                <w:sz w:val="18"/>
                <w:szCs w:val="18"/>
                <w:lang w:val="en-US"/>
              </w:rPr>
            </w:pPr>
            <w:r w:rsidRPr="005C26D0">
              <w:rPr>
                <w:sz w:val="18"/>
                <w:szCs w:val="18"/>
                <w:lang w:val="en-US"/>
              </w:rPr>
              <w:t xml:space="preserve">7.1. </w:t>
            </w:r>
            <w:proofErr w:type="spellStart"/>
            <w:r w:rsidRPr="005C26D0">
              <w:rPr>
                <w:sz w:val="18"/>
                <w:szCs w:val="18"/>
                <w:lang w:val="en-US"/>
              </w:rPr>
              <w:t>iau</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considerare</w:t>
            </w:r>
            <w:proofErr w:type="spellEnd"/>
            <w:r w:rsidRPr="005C26D0">
              <w:rPr>
                <w:sz w:val="18"/>
                <w:szCs w:val="18"/>
                <w:lang w:val="en-US"/>
              </w:rPr>
              <w:t xml:space="preserve"> </w:t>
            </w:r>
            <w:proofErr w:type="spellStart"/>
            <w:r w:rsidRPr="005C26D0">
              <w:rPr>
                <w:sz w:val="18"/>
                <w:szCs w:val="18"/>
                <w:lang w:val="en-US"/>
              </w:rPr>
              <w:t>toți</w:t>
            </w:r>
            <w:proofErr w:type="spellEnd"/>
            <w:r w:rsidRPr="005C26D0">
              <w:rPr>
                <w:sz w:val="18"/>
                <w:szCs w:val="18"/>
                <w:lang w:val="en-US"/>
              </w:rPr>
              <w:t xml:space="preserv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ai </w:t>
            </w:r>
            <w:proofErr w:type="spellStart"/>
            <w:r w:rsidRPr="005C26D0">
              <w:rPr>
                <w:sz w:val="18"/>
                <w:szCs w:val="18"/>
                <w:lang w:val="en-US"/>
              </w:rPr>
              <w:t>tranzacției</w:t>
            </w:r>
            <w:proofErr w:type="spellEnd"/>
            <w:r w:rsidRPr="005C26D0">
              <w:rPr>
                <w:sz w:val="18"/>
                <w:szCs w:val="18"/>
                <w:lang w:val="en-US"/>
              </w:rPr>
              <w:t xml:space="preserve"> </w:t>
            </w:r>
            <w:proofErr w:type="spellStart"/>
            <w:r w:rsidRPr="005C26D0">
              <w:rPr>
                <w:sz w:val="18"/>
                <w:szCs w:val="18"/>
                <w:lang w:val="en-US"/>
              </w:rPr>
              <w:t>identificați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procedura</w:t>
            </w:r>
            <w:proofErr w:type="spellEnd"/>
            <w:r w:rsidRPr="005C26D0">
              <w:rPr>
                <w:sz w:val="18"/>
                <w:szCs w:val="18"/>
                <w:lang w:val="en-US"/>
              </w:rPr>
              <w:t xml:space="preserve"> </w:t>
            </w:r>
            <w:proofErr w:type="spellStart"/>
            <w:r w:rsidRPr="005C26D0">
              <w:rPr>
                <w:sz w:val="18"/>
                <w:szCs w:val="18"/>
                <w:lang w:val="en-US"/>
              </w:rPr>
              <w:t>menționată</w:t>
            </w:r>
            <w:proofErr w:type="spellEnd"/>
            <w:r w:rsidRPr="005C26D0">
              <w:rPr>
                <w:sz w:val="18"/>
                <w:szCs w:val="18"/>
                <w:lang w:val="en-US"/>
              </w:rPr>
              <w:t xml:space="preserve"> la </w:t>
            </w:r>
            <w:proofErr w:type="spellStart"/>
            <w:r w:rsidRPr="005C26D0">
              <w:rPr>
                <w:sz w:val="18"/>
                <w:szCs w:val="18"/>
                <w:lang w:val="en-US"/>
              </w:rPr>
              <w:t>punctele</w:t>
            </w:r>
            <w:proofErr w:type="spellEnd"/>
            <w:r w:rsidRPr="005C26D0">
              <w:rPr>
                <w:sz w:val="18"/>
                <w:szCs w:val="18"/>
                <w:lang w:val="en-US"/>
              </w:rPr>
              <w:t xml:space="preserve"> 1 </w:t>
            </w:r>
            <w:proofErr w:type="spellStart"/>
            <w:r w:rsidRPr="005C26D0">
              <w:rPr>
                <w:sz w:val="18"/>
                <w:szCs w:val="18"/>
                <w:lang w:val="en-US"/>
              </w:rPr>
              <w:t>și</w:t>
            </w:r>
            <w:proofErr w:type="spellEnd"/>
            <w:r w:rsidRPr="005C26D0">
              <w:rPr>
                <w:sz w:val="18"/>
                <w:szCs w:val="18"/>
                <w:lang w:val="en-US"/>
              </w:rPr>
              <w:t xml:space="preserve"> 2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determinanți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proofErr w:type="gramStart"/>
            <w:r w:rsidRPr="005C26D0">
              <w:rPr>
                <w:sz w:val="18"/>
                <w:szCs w:val="18"/>
                <w:lang w:val="en-US"/>
              </w:rPr>
              <w:t>semnificativi</w:t>
            </w:r>
            <w:proofErr w:type="spellEnd"/>
            <w:r w:rsidRPr="005C26D0">
              <w:rPr>
                <w:sz w:val="18"/>
                <w:szCs w:val="18"/>
                <w:lang w:val="en-US"/>
              </w:rPr>
              <w:t>;</w:t>
            </w:r>
            <w:proofErr w:type="gramEnd"/>
          </w:p>
          <w:p w14:paraId="10F5305A" w14:textId="77777777" w:rsidR="002D6B17" w:rsidRPr="005C26D0" w:rsidRDefault="002D6B17" w:rsidP="002D6B17">
            <w:pPr>
              <w:rPr>
                <w:sz w:val="18"/>
                <w:szCs w:val="18"/>
                <w:lang w:val="en-US"/>
              </w:rPr>
            </w:pPr>
            <w:r w:rsidRPr="005C26D0">
              <w:rPr>
                <w:sz w:val="18"/>
                <w:szCs w:val="18"/>
                <w:lang w:val="en-US"/>
              </w:rPr>
              <w:t xml:space="preserve">7.2.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fiecare</w:t>
            </w:r>
            <w:proofErr w:type="spellEnd"/>
            <w:r w:rsidRPr="005C26D0">
              <w:rPr>
                <w:sz w:val="18"/>
                <w:szCs w:val="18"/>
                <w:lang w:val="en-US"/>
              </w:rPr>
              <w:t xml:space="preserve"> </w:t>
            </w:r>
            <w:proofErr w:type="spellStart"/>
            <w:r w:rsidRPr="005C26D0">
              <w:rPr>
                <w:sz w:val="18"/>
                <w:szCs w:val="18"/>
                <w:lang w:val="en-US"/>
              </w:rPr>
              <w:t>categorie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corespunde</w:t>
            </w:r>
            <w:proofErr w:type="spellEnd"/>
            <w:r w:rsidRPr="005C26D0">
              <w:rPr>
                <w:sz w:val="18"/>
                <w:szCs w:val="18"/>
                <w:lang w:val="en-US"/>
              </w:rPr>
              <w:t xml:space="preserve"> </w:t>
            </w:r>
            <w:proofErr w:type="spellStart"/>
            <w:r w:rsidRPr="005C26D0">
              <w:rPr>
                <w:sz w:val="18"/>
                <w:szCs w:val="18"/>
                <w:lang w:val="en-US"/>
              </w:rPr>
              <w:t>respectivilor</w:t>
            </w:r>
            <w:proofErr w:type="spellEnd"/>
            <w:r w:rsidRPr="005C26D0">
              <w:rPr>
                <w:sz w:val="18"/>
                <w:szCs w:val="18"/>
                <w:lang w:val="en-US"/>
              </w:rPr>
              <w:t xml:space="preserve"> </w:t>
            </w:r>
            <w:proofErr w:type="spellStart"/>
            <w:r w:rsidRPr="005C26D0">
              <w:rPr>
                <w:sz w:val="18"/>
                <w:szCs w:val="18"/>
                <w:lang w:val="en-US"/>
              </w:rPr>
              <w:t>determinanți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semnificativi</w:t>
            </w:r>
            <w:proofErr w:type="spellEnd"/>
            <w:r w:rsidRPr="005C26D0">
              <w:rPr>
                <w:sz w:val="18"/>
                <w:szCs w:val="18"/>
                <w:lang w:val="en-US"/>
              </w:rPr>
              <w:t xml:space="preserve">, </w:t>
            </w:r>
            <w:proofErr w:type="spellStart"/>
            <w:r w:rsidRPr="005C26D0">
              <w:rPr>
                <w:sz w:val="18"/>
                <w:szCs w:val="18"/>
                <w:lang w:val="en-US"/>
              </w:rPr>
              <w:t>identifică</w:t>
            </w:r>
            <w:proofErr w:type="spellEnd"/>
            <w:r w:rsidRPr="005C26D0">
              <w:rPr>
                <w:sz w:val="18"/>
                <w:szCs w:val="18"/>
                <w:lang w:val="en-US"/>
              </w:rPr>
              <w:t xml:space="preserve">, </w:t>
            </w:r>
            <w:proofErr w:type="spellStart"/>
            <w:r w:rsidRPr="005C26D0">
              <w:rPr>
                <w:sz w:val="18"/>
                <w:szCs w:val="18"/>
                <w:lang w:val="en-US"/>
              </w:rPr>
              <w:t>drept</w:t>
            </w:r>
            <w:proofErr w:type="spellEnd"/>
            <w:r w:rsidRPr="005C26D0">
              <w:rPr>
                <w:sz w:val="18"/>
                <w:szCs w:val="18"/>
                <w:lang w:val="en-US"/>
              </w:rPr>
              <w:t xml:space="preserve"> cel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determinantul</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corespunde</w:t>
            </w:r>
            <w:proofErr w:type="spellEnd"/>
            <w:r w:rsidRPr="005C26D0">
              <w:rPr>
                <w:sz w:val="18"/>
                <w:szCs w:val="18"/>
                <w:lang w:val="en-US"/>
              </w:rPr>
              <w:t xml:space="preserve"> </w:t>
            </w:r>
            <w:proofErr w:type="spellStart"/>
            <w:r w:rsidRPr="005C26D0">
              <w:rPr>
                <w:sz w:val="18"/>
                <w:szCs w:val="18"/>
                <w:lang w:val="en-US"/>
              </w:rPr>
              <w:t>celei</w:t>
            </w:r>
            <w:proofErr w:type="spellEnd"/>
            <w:r w:rsidRPr="005C26D0">
              <w:rPr>
                <w:sz w:val="18"/>
                <w:szCs w:val="18"/>
                <w:lang w:val="en-US"/>
              </w:rPr>
              <w:t xml:space="preserve">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mari</w:t>
            </w:r>
            <w:proofErr w:type="spellEnd"/>
            <w:r w:rsidRPr="005C26D0">
              <w:rPr>
                <w:sz w:val="18"/>
                <w:szCs w:val="18"/>
                <w:lang w:val="en-US"/>
              </w:rPr>
              <w:t xml:space="preserve"> </w:t>
            </w:r>
            <w:proofErr w:type="spellStart"/>
            <w:r w:rsidRPr="005C26D0">
              <w:rPr>
                <w:sz w:val="18"/>
                <w:szCs w:val="18"/>
                <w:lang w:val="en-US"/>
              </w:rPr>
              <w:t>majorări</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categoria</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dintre</w:t>
            </w:r>
            <w:proofErr w:type="spellEnd"/>
            <w:r w:rsidRPr="005C26D0">
              <w:rPr>
                <w:sz w:val="18"/>
                <w:szCs w:val="18"/>
                <w:lang w:val="en-US"/>
              </w:rPr>
              <w:t xml:space="preserve"> </w:t>
            </w:r>
            <w:proofErr w:type="spellStart"/>
            <w:r w:rsidRPr="005C26D0">
              <w:rPr>
                <w:sz w:val="18"/>
                <w:szCs w:val="18"/>
                <w:lang w:val="en-US"/>
              </w:rPr>
              <w:t>cele</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punctele</w:t>
            </w:r>
            <w:proofErr w:type="spellEnd"/>
            <w:r w:rsidRPr="005C26D0">
              <w:rPr>
                <w:sz w:val="18"/>
                <w:szCs w:val="18"/>
                <w:lang w:val="en-US"/>
              </w:rPr>
              <w:t xml:space="preserve"> 78-98 din </w:t>
            </w: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w:t>
            </w:r>
          </w:p>
          <w:p w14:paraId="294CB60D" w14:textId="77777777" w:rsidR="002D6B17" w:rsidRPr="005C26D0" w:rsidRDefault="002D6B17" w:rsidP="002D6B17">
            <w:pPr>
              <w:rPr>
                <w:b/>
                <w:bCs/>
                <w:vanish/>
                <w:sz w:val="18"/>
                <w:szCs w:val="18"/>
                <w:lang w:val="en-US"/>
              </w:rPr>
            </w:pPr>
            <w:r w:rsidRPr="005C26D0">
              <w:rPr>
                <w:b/>
                <w:bCs/>
                <w:sz w:val="18"/>
                <w:szCs w:val="18"/>
                <w:lang w:val="en-US"/>
              </w:rPr>
              <w:t>8.</w:t>
            </w:r>
          </w:p>
          <w:p w14:paraId="7EF0E3E4" w14:textId="77777777" w:rsidR="002D6B17" w:rsidRPr="005C26D0" w:rsidRDefault="002D6B17" w:rsidP="002D6B17">
            <w:pPr>
              <w:rPr>
                <w:sz w:val="18"/>
                <w:szCs w:val="18"/>
                <w:lang w:val="en-US"/>
              </w:rPr>
            </w:pPr>
            <w:r w:rsidRPr="005C26D0">
              <w:rPr>
                <w:vanish/>
                <w:sz w:val="18"/>
                <w:szCs w:val="18"/>
                <w:lang w:val="en-US"/>
              </w:rPr>
              <w:t>8. 88</w:t>
            </w:r>
            <w:r w:rsidRPr="005C26D0">
              <w:rPr>
                <w:sz w:val="18"/>
                <w:szCs w:val="18"/>
                <w:lang w:val="en-US"/>
              </w:rPr>
              <w:t>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aplică</w:t>
            </w:r>
            <w:proofErr w:type="spellEnd"/>
            <w:r w:rsidRPr="005C26D0">
              <w:rPr>
                <w:sz w:val="18"/>
                <w:szCs w:val="18"/>
                <w:lang w:val="en-US"/>
              </w:rPr>
              <w:t xml:space="preserve"> </w:t>
            </w:r>
            <w:proofErr w:type="spellStart"/>
            <w:r w:rsidRPr="005C26D0">
              <w:rPr>
                <w:sz w:val="18"/>
                <w:szCs w:val="18"/>
                <w:lang w:val="en-US"/>
              </w:rPr>
              <w:t>următoarele</w:t>
            </w:r>
            <w:proofErr w:type="spellEnd"/>
            <w:r w:rsidRPr="005C26D0">
              <w:rPr>
                <w:sz w:val="18"/>
                <w:szCs w:val="18"/>
                <w:lang w:val="en-US"/>
              </w:rPr>
              <w:t xml:space="preserve"> </w:t>
            </w:r>
            <w:proofErr w:type="spellStart"/>
            <w:r w:rsidRPr="005C26D0">
              <w:rPr>
                <w:sz w:val="18"/>
                <w:szCs w:val="18"/>
                <w:lang w:val="en-US"/>
              </w:rPr>
              <w:t>etape</w:t>
            </w:r>
            <w:proofErr w:type="spellEnd"/>
            <w:r w:rsidRPr="005C26D0">
              <w:rPr>
                <w:sz w:val="18"/>
                <w:szCs w:val="18"/>
                <w:lang w:val="en-US"/>
              </w:rPr>
              <w:t xml:space="preserve"> la </w:t>
            </w:r>
            <w:proofErr w:type="spellStart"/>
            <w:r w:rsidRPr="005C26D0">
              <w:rPr>
                <w:sz w:val="18"/>
                <w:szCs w:val="18"/>
                <w:lang w:val="en-US"/>
              </w:rPr>
              <w:t>inițierea</w:t>
            </w:r>
            <w:proofErr w:type="spellEnd"/>
            <w:r w:rsidRPr="005C26D0">
              <w:rPr>
                <w:sz w:val="18"/>
                <w:szCs w:val="18"/>
                <w:lang w:val="en-US"/>
              </w:rPr>
              <w:t xml:space="preserve"> </w:t>
            </w:r>
            <w:proofErr w:type="spellStart"/>
            <w:r w:rsidRPr="005C26D0">
              <w:rPr>
                <w:sz w:val="18"/>
                <w:szCs w:val="18"/>
                <w:lang w:val="en-US"/>
              </w:rPr>
              <w:t>tranzacției</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ulterior, cel </w:t>
            </w:r>
            <w:proofErr w:type="spellStart"/>
            <w:r w:rsidRPr="005C26D0">
              <w:rPr>
                <w:sz w:val="18"/>
                <w:szCs w:val="18"/>
                <w:lang w:val="en-US"/>
              </w:rPr>
              <w:t>puțin</w:t>
            </w:r>
            <w:proofErr w:type="spellEnd"/>
            <w:r w:rsidRPr="005C26D0">
              <w:rPr>
                <w:sz w:val="18"/>
                <w:szCs w:val="18"/>
                <w:lang w:val="en-US"/>
              </w:rPr>
              <w:t xml:space="preserve"> </w:t>
            </w:r>
            <w:proofErr w:type="spellStart"/>
            <w:r w:rsidRPr="005C26D0">
              <w:rPr>
                <w:sz w:val="18"/>
                <w:szCs w:val="18"/>
                <w:lang w:val="en-US"/>
              </w:rPr>
              <w:t>trimestrial</w:t>
            </w:r>
            <w:proofErr w:type="spellEnd"/>
            <w:r w:rsidRPr="005C26D0">
              <w:rPr>
                <w:sz w:val="18"/>
                <w:szCs w:val="18"/>
                <w:lang w:val="en-US"/>
              </w:rPr>
              <w:t>:</w:t>
            </w:r>
          </w:p>
          <w:p w14:paraId="7A63937E" w14:textId="77777777" w:rsidR="002D6B17" w:rsidRPr="005C26D0" w:rsidRDefault="002D6B17" w:rsidP="002D6B17">
            <w:pPr>
              <w:rPr>
                <w:sz w:val="18"/>
                <w:szCs w:val="18"/>
                <w:lang w:val="en-US"/>
              </w:rPr>
            </w:pPr>
            <w:r w:rsidRPr="005C26D0">
              <w:rPr>
                <w:sz w:val="18"/>
                <w:szCs w:val="18"/>
                <w:lang w:val="en-US"/>
              </w:rPr>
              <w:t xml:space="preserve">8.1. </w:t>
            </w:r>
            <w:proofErr w:type="spellStart"/>
            <w:r w:rsidRPr="005C26D0">
              <w:rPr>
                <w:sz w:val="18"/>
                <w:szCs w:val="18"/>
                <w:lang w:val="en-US"/>
              </w:rPr>
              <w:t>calculează</w:t>
            </w:r>
            <w:proofErr w:type="spellEnd"/>
            <w:r w:rsidRPr="005C26D0">
              <w:rPr>
                <w:sz w:val="18"/>
                <w:szCs w:val="18"/>
                <w:lang w:val="en-US"/>
              </w:rPr>
              <w:t xml:space="preserve"> </w:t>
            </w:r>
            <w:proofErr w:type="spellStart"/>
            <w:r w:rsidRPr="005C26D0">
              <w:rPr>
                <w:sz w:val="18"/>
                <w:szCs w:val="18"/>
                <w:lang w:val="en-US"/>
              </w:rPr>
              <w:t>sensibilitățile</w:t>
            </w:r>
            <w:proofErr w:type="spellEnd"/>
            <w:r w:rsidRPr="005C26D0">
              <w:rPr>
                <w:sz w:val="18"/>
                <w:szCs w:val="18"/>
                <w:lang w:val="en-US"/>
              </w:rPr>
              <w:t xml:space="preserve"> la </w:t>
            </w:r>
            <w:proofErr w:type="spellStart"/>
            <w:r w:rsidRPr="005C26D0">
              <w:rPr>
                <w:sz w:val="18"/>
                <w:szCs w:val="18"/>
                <w:lang w:val="en-US"/>
              </w:rPr>
              <w:t>riscul</w:t>
            </w:r>
            <w:proofErr w:type="spellEnd"/>
            <w:r w:rsidRPr="005C26D0">
              <w:rPr>
                <w:sz w:val="18"/>
                <w:szCs w:val="18"/>
                <w:lang w:val="en-US"/>
              </w:rPr>
              <w:t xml:space="preserve"> delta,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prevederile</w:t>
            </w:r>
            <w:proofErr w:type="spellEnd"/>
            <w:r w:rsidRPr="005C26D0">
              <w:rPr>
                <w:sz w:val="18"/>
                <w:szCs w:val="18"/>
                <w:lang w:val="en-US"/>
              </w:rPr>
              <w:t xml:space="preserve"> </w:t>
            </w:r>
            <w:proofErr w:type="spellStart"/>
            <w:r w:rsidRPr="005C26D0">
              <w:rPr>
                <w:sz w:val="18"/>
                <w:szCs w:val="18"/>
                <w:lang w:val="en-US"/>
              </w:rPr>
              <w:t>Regulamentului</w:t>
            </w:r>
            <w:proofErr w:type="spellEnd"/>
            <w:r w:rsidRPr="005C26D0">
              <w:rPr>
                <w:sz w:val="18"/>
                <w:szCs w:val="18"/>
                <w:lang w:val="en-US"/>
              </w:rPr>
              <w:t xml:space="preserve"> nr.114/2018,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fiecare</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identificat</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punctele</w:t>
            </w:r>
            <w:proofErr w:type="spellEnd"/>
            <w:r w:rsidRPr="005C26D0">
              <w:rPr>
                <w:sz w:val="18"/>
                <w:szCs w:val="18"/>
                <w:lang w:val="en-US"/>
              </w:rPr>
              <w:t xml:space="preserve"> 1 </w:t>
            </w:r>
            <w:proofErr w:type="spellStart"/>
            <w:r w:rsidRPr="005C26D0">
              <w:rPr>
                <w:sz w:val="18"/>
                <w:szCs w:val="18"/>
                <w:lang w:val="en-US"/>
              </w:rPr>
              <w:t>și</w:t>
            </w:r>
            <w:proofErr w:type="spellEnd"/>
            <w:r w:rsidRPr="005C26D0">
              <w:rPr>
                <w:sz w:val="18"/>
                <w:szCs w:val="18"/>
                <w:lang w:val="en-US"/>
              </w:rPr>
              <w:t xml:space="preserve"> 2 din </w:t>
            </w:r>
            <w:proofErr w:type="spellStart"/>
            <w:r w:rsidRPr="005C26D0">
              <w:rPr>
                <w:sz w:val="18"/>
                <w:szCs w:val="18"/>
                <w:lang w:val="en-US"/>
              </w:rPr>
              <w:t>prezenta</w:t>
            </w:r>
            <w:proofErr w:type="spellEnd"/>
            <w:r w:rsidRPr="005C26D0">
              <w:rPr>
                <w:sz w:val="18"/>
                <w:szCs w:val="18"/>
                <w:lang w:val="en-US"/>
              </w:rPr>
              <w:t xml:space="preserve"> </w:t>
            </w:r>
            <w:proofErr w:type="spellStart"/>
            <w:proofErr w:type="gramStart"/>
            <w:r w:rsidRPr="005C26D0">
              <w:rPr>
                <w:sz w:val="18"/>
                <w:szCs w:val="18"/>
                <w:lang w:val="en-US"/>
              </w:rPr>
              <w:t>anexă</w:t>
            </w:r>
            <w:proofErr w:type="spellEnd"/>
            <w:r w:rsidRPr="005C26D0">
              <w:rPr>
                <w:sz w:val="18"/>
                <w:szCs w:val="18"/>
                <w:lang w:val="en-US"/>
              </w:rPr>
              <w:t>;</w:t>
            </w:r>
            <w:proofErr w:type="gramEnd"/>
          </w:p>
          <w:p w14:paraId="591E37BE" w14:textId="77777777" w:rsidR="002D6B17" w:rsidRPr="005C26D0" w:rsidRDefault="002D6B17" w:rsidP="002D6B17">
            <w:pPr>
              <w:rPr>
                <w:sz w:val="18"/>
                <w:szCs w:val="18"/>
                <w:lang w:val="en-US"/>
              </w:rPr>
            </w:pPr>
            <w:r w:rsidRPr="005C26D0">
              <w:rPr>
                <w:sz w:val="18"/>
                <w:szCs w:val="18"/>
                <w:lang w:val="en-US"/>
              </w:rPr>
              <w:t xml:space="preserve">8.2. </w:t>
            </w:r>
            <w:proofErr w:type="spellStart"/>
            <w:r w:rsidRPr="005C26D0">
              <w:rPr>
                <w:sz w:val="18"/>
                <w:szCs w:val="18"/>
                <w:lang w:val="en-US"/>
              </w:rPr>
              <w:t>calculează</w:t>
            </w:r>
            <w:proofErr w:type="spellEnd"/>
            <w:r w:rsidRPr="005C26D0">
              <w:rPr>
                <w:sz w:val="18"/>
                <w:szCs w:val="18"/>
                <w:lang w:val="en-US"/>
              </w:rPr>
              <w:t xml:space="preserve"> </w:t>
            </w:r>
            <w:proofErr w:type="spellStart"/>
            <w:r w:rsidRPr="005C26D0">
              <w:rPr>
                <w:sz w:val="18"/>
                <w:szCs w:val="18"/>
                <w:lang w:val="en-US"/>
              </w:rPr>
              <w:t>sensibilitățile</w:t>
            </w:r>
            <w:proofErr w:type="spellEnd"/>
            <w:r w:rsidRPr="005C26D0">
              <w:rPr>
                <w:sz w:val="18"/>
                <w:szCs w:val="18"/>
                <w:lang w:val="en-US"/>
              </w:rPr>
              <w:t xml:space="preserve"> </w:t>
            </w:r>
            <w:proofErr w:type="spellStart"/>
            <w:r w:rsidRPr="005C26D0">
              <w:rPr>
                <w:sz w:val="18"/>
                <w:szCs w:val="18"/>
                <w:lang w:val="en-US"/>
              </w:rPr>
              <w:t>ponderate</w:t>
            </w:r>
            <w:proofErr w:type="spellEnd"/>
            <w:r w:rsidRPr="005C26D0">
              <w:rPr>
                <w:sz w:val="18"/>
                <w:szCs w:val="18"/>
                <w:lang w:val="en-US"/>
              </w:rPr>
              <w:t xml:space="preserve"> </w:t>
            </w:r>
            <w:proofErr w:type="spellStart"/>
            <w:r w:rsidRPr="005C26D0">
              <w:rPr>
                <w:sz w:val="18"/>
                <w:szCs w:val="18"/>
                <w:lang w:val="en-US"/>
              </w:rPr>
              <w:t>prin</w:t>
            </w:r>
            <w:proofErr w:type="spellEnd"/>
            <w:r w:rsidRPr="005C26D0">
              <w:rPr>
                <w:sz w:val="18"/>
                <w:szCs w:val="18"/>
                <w:lang w:val="en-US"/>
              </w:rPr>
              <w:t xml:space="preserve"> formula </w:t>
            </w:r>
            <w:proofErr w:type="spellStart"/>
            <w:r w:rsidRPr="005C26D0">
              <w:rPr>
                <w:sz w:val="18"/>
                <w:szCs w:val="18"/>
                <w:lang w:val="en-US"/>
              </w:rPr>
              <w:t>prevăzută</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Regulamentul</w:t>
            </w:r>
            <w:proofErr w:type="spellEnd"/>
            <w:r w:rsidRPr="005C26D0">
              <w:rPr>
                <w:sz w:val="18"/>
                <w:szCs w:val="18"/>
                <w:lang w:val="en-US"/>
              </w:rPr>
              <w:t xml:space="preserve"> nr.114/2018, pe </w:t>
            </w:r>
            <w:proofErr w:type="spellStart"/>
            <w:r w:rsidRPr="005C26D0">
              <w:rPr>
                <w:sz w:val="18"/>
                <w:szCs w:val="18"/>
                <w:lang w:val="en-US"/>
              </w:rPr>
              <w:t>baza</w:t>
            </w:r>
            <w:proofErr w:type="spellEnd"/>
            <w:r w:rsidRPr="005C26D0">
              <w:rPr>
                <w:sz w:val="18"/>
                <w:szCs w:val="18"/>
                <w:lang w:val="en-US"/>
              </w:rPr>
              <w:t xml:space="preserve"> </w:t>
            </w:r>
            <w:proofErr w:type="spellStart"/>
            <w:r w:rsidRPr="005C26D0">
              <w:rPr>
                <w:sz w:val="18"/>
                <w:szCs w:val="18"/>
                <w:lang w:val="en-US"/>
              </w:rPr>
              <w:t>sensibilităților</w:t>
            </w:r>
            <w:proofErr w:type="spellEnd"/>
            <w:r w:rsidRPr="005C26D0">
              <w:rPr>
                <w:sz w:val="18"/>
                <w:szCs w:val="18"/>
                <w:lang w:val="en-US"/>
              </w:rPr>
              <w:t xml:space="preserve"> calculate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subpunctul</w:t>
            </w:r>
            <w:proofErr w:type="spellEnd"/>
            <w:r w:rsidRPr="005C26D0">
              <w:rPr>
                <w:sz w:val="18"/>
                <w:szCs w:val="18"/>
                <w:lang w:val="en-US"/>
              </w:rPr>
              <w:t xml:space="preserve"> 8.1. din </w:t>
            </w:r>
            <w:proofErr w:type="spellStart"/>
            <w:r w:rsidRPr="005C26D0">
              <w:rPr>
                <w:sz w:val="18"/>
                <w:szCs w:val="18"/>
                <w:lang w:val="en-US"/>
              </w:rPr>
              <w:t>prezenta</w:t>
            </w:r>
            <w:proofErr w:type="spellEnd"/>
            <w:r w:rsidRPr="005C26D0">
              <w:rPr>
                <w:sz w:val="18"/>
                <w:szCs w:val="18"/>
                <w:lang w:val="en-US"/>
              </w:rPr>
              <w:t xml:space="preserve"> </w:t>
            </w:r>
            <w:proofErr w:type="spellStart"/>
            <w:proofErr w:type="gramStart"/>
            <w:r w:rsidRPr="005C26D0">
              <w:rPr>
                <w:sz w:val="18"/>
                <w:szCs w:val="18"/>
                <w:lang w:val="en-US"/>
              </w:rPr>
              <w:t>anexă</w:t>
            </w:r>
            <w:proofErr w:type="spellEnd"/>
            <w:r w:rsidRPr="005C26D0">
              <w:rPr>
                <w:sz w:val="18"/>
                <w:szCs w:val="18"/>
                <w:lang w:val="en-US"/>
              </w:rPr>
              <w:t>;</w:t>
            </w:r>
            <w:proofErr w:type="gramEnd"/>
          </w:p>
          <w:p w14:paraId="774D4E4F" w14:textId="77777777" w:rsidR="002D6B17" w:rsidRPr="005C26D0" w:rsidRDefault="002D6B17" w:rsidP="002D6B17">
            <w:pPr>
              <w:rPr>
                <w:sz w:val="18"/>
                <w:szCs w:val="18"/>
                <w:lang w:val="en-US"/>
              </w:rPr>
            </w:pPr>
            <w:r w:rsidRPr="005C26D0">
              <w:rPr>
                <w:sz w:val="18"/>
                <w:szCs w:val="18"/>
                <w:lang w:val="en-US"/>
              </w:rPr>
              <w:t xml:space="preserve">8.3.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fiecare</w:t>
            </w:r>
            <w:proofErr w:type="spellEnd"/>
            <w:r w:rsidRPr="005C26D0">
              <w:rPr>
                <w:sz w:val="18"/>
                <w:szCs w:val="18"/>
                <w:lang w:val="en-US"/>
              </w:rPr>
              <w:t xml:space="preserve"> </w:t>
            </w:r>
            <w:proofErr w:type="spellStart"/>
            <w:r w:rsidRPr="005C26D0">
              <w:rPr>
                <w:sz w:val="18"/>
                <w:szCs w:val="18"/>
                <w:lang w:val="en-US"/>
              </w:rPr>
              <w:t>dintre</w:t>
            </w:r>
            <w:proofErr w:type="spellEnd"/>
            <w:r w:rsidRPr="005C26D0">
              <w:rPr>
                <w:sz w:val="18"/>
                <w:szCs w:val="18"/>
                <w:lang w:val="en-US"/>
              </w:rPr>
              <w:t xml:space="preserve"> </w:t>
            </w:r>
            <w:proofErr w:type="spellStart"/>
            <w:r w:rsidRPr="005C26D0">
              <w:rPr>
                <w:sz w:val="18"/>
                <w:szCs w:val="18"/>
                <w:lang w:val="en-US"/>
              </w:rPr>
              <w:t>categoriile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punctul</w:t>
            </w:r>
            <w:proofErr w:type="spellEnd"/>
            <w:r w:rsidRPr="005C26D0">
              <w:rPr>
                <w:sz w:val="18"/>
                <w:szCs w:val="18"/>
                <w:lang w:val="en-US"/>
              </w:rPr>
              <w:t xml:space="preserve"> 55 din </w:t>
            </w: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 xml:space="preserve">, </w:t>
            </w:r>
            <w:proofErr w:type="spellStart"/>
            <w:r w:rsidRPr="005C26D0">
              <w:rPr>
                <w:sz w:val="18"/>
                <w:szCs w:val="18"/>
                <w:lang w:val="en-US"/>
              </w:rPr>
              <w:t>calculează</w:t>
            </w:r>
            <w:proofErr w:type="spellEnd"/>
            <w:r w:rsidRPr="005C26D0">
              <w:rPr>
                <w:sz w:val="18"/>
                <w:szCs w:val="18"/>
                <w:lang w:val="en-US"/>
              </w:rPr>
              <w:t xml:space="preserve"> </w:t>
            </w:r>
            <w:proofErr w:type="spellStart"/>
            <w:r w:rsidRPr="005C26D0">
              <w:rPr>
                <w:sz w:val="18"/>
                <w:szCs w:val="18"/>
                <w:lang w:val="en-US"/>
              </w:rPr>
              <w:t>cerința</w:t>
            </w:r>
            <w:proofErr w:type="spellEnd"/>
            <w:r w:rsidRPr="005C26D0">
              <w:rPr>
                <w:sz w:val="18"/>
                <w:szCs w:val="18"/>
                <w:lang w:val="en-US"/>
              </w:rPr>
              <w:t xml:space="preserve"> de </w:t>
            </w:r>
            <w:proofErr w:type="spellStart"/>
            <w:r w:rsidRPr="005C26D0">
              <w:rPr>
                <w:sz w:val="18"/>
                <w:szCs w:val="18"/>
                <w:lang w:val="en-US"/>
              </w:rPr>
              <w:t>fonduri</w:t>
            </w:r>
            <w:proofErr w:type="spellEnd"/>
            <w:r w:rsidRPr="005C26D0">
              <w:rPr>
                <w:sz w:val="18"/>
                <w:szCs w:val="18"/>
                <w:lang w:val="en-US"/>
              </w:rPr>
              <w:t xml:space="preserve"> </w:t>
            </w:r>
            <w:proofErr w:type="spellStart"/>
            <w:r w:rsidRPr="005C26D0">
              <w:rPr>
                <w:sz w:val="18"/>
                <w:szCs w:val="18"/>
                <w:lang w:val="en-US"/>
              </w:rPr>
              <w:t>proprii</w:t>
            </w:r>
            <w:proofErr w:type="spellEnd"/>
            <w:r w:rsidRPr="005C26D0">
              <w:rPr>
                <w:sz w:val="18"/>
                <w:szCs w:val="18"/>
                <w:lang w:val="en-US"/>
              </w:rPr>
              <w:t xml:space="preserve"> </w:t>
            </w:r>
            <w:proofErr w:type="spellStart"/>
            <w:r w:rsidRPr="005C26D0">
              <w:rPr>
                <w:sz w:val="18"/>
                <w:szCs w:val="18"/>
                <w:lang w:val="en-US"/>
              </w:rPr>
              <w:t>specifică</w:t>
            </w:r>
            <w:proofErr w:type="spellEnd"/>
            <w:r w:rsidRPr="005C26D0">
              <w:rPr>
                <w:sz w:val="18"/>
                <w:szCs w:val="18"/>
                <w:lang w:val="en-US"/>
              </w:rPr>
              <w:t xml:space="preserve"> </w:t>
            </w:r>
            <w:proofErr w:type="spellStart"/>
            <w:r w:rsidRPr="005C26D0">
              <w:rPr>
                <w:sz w:val="18"/>
                <w:szCs w:val="18"/>
                <w:lang w:val="en-US"/>
              </w:rPr>
              <w:t>unei</w:t>
            </w:r>
            <w:proofErr w:type="spellEnd"/>
            <w:r w:rsidRPr="005C26D0">
              <w:rPr>
                <w:sz w:val="18"/>
                <w:szCs w:val="18"/>
                <w:lang w:val="en-US"/>
              </w:rPr>
              <w:t xml:space="preserve"> </w:t>
            </w:r>
            <w:proofErr w:type="spellStart"/>
            <w:r w:rsidRPr="005C26D0">
              <w:rPr>
                <w:sz w:val="18"/>
                <w:szCs w:val="18"/>
                <w:lang w:val="en-US"/>
              </w:rPr>
              <w:t>clase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riscul</w:t>
            </w:r>
            <w:proofErr w:type="spellEnd"/>
            <w:r w:rsidRPr="005C26D0">
              <w:rPr>
                <w:sz w:val="18"/>
                <w:szCs w:val="18"/>
                <w:lang w:val="en-US"/>
              </w:rPr>
              <w:t xml:space="preserve"> </w:t>
            </w:r>
            <w:r w:rsidRPr="005C26D0">
              <w:rPr>
                <w:sz w:val="18"/>
                <w:szCs w:val="18"/>
                <w:lang w:val="en-US"/>
              </w:rPr>
              <w:lastRenderedPageBreak/>
              <w:t xml:space="preserve">de </w:t>
            </w:r>
            <w:proofErr w:type="spellStart"/>
            <w:r w:rsidRPr="005C26D0">
              <w:rPr>
                <w:sz w:val="18"/>
                <w:szCs w:val="18"/>
                <w:lang w:val="en-US"/>
              </w:rPr>
              <w:t>piață</w:t>
            </w:r>
            <w:proofErr w:type="spellEnd"/>
            <w:r w:rsidRPr="005C26D0">
              <w:rPr>
                <w:sz w:val="18"/>
                <w:szCs w:val="18"/>
                <w:lang w:val="en-US"/>
              </w:rPr>
              <w:t xml:space="preserve">, </w:t>
            </w:r>
            <w:proofErr w:type="spellStart"/>
            <w:r w:rsidRPr="005C26D0">
              <w:rPr>
                <w:sz w:val="18"/>
                <w:szCs w:val="18"/>
                <w:lang w:val="en-US"/>
              </w:rPr>
              <w:t>prin</w:t>
            </w:r>
            <w:proofErr w:type="spellEnd"/>
            <w:r w:rsidRPr="005C26D0">
              <w:rPr>
                <w:sz w:val="18"/>
                <w:szCs w:val="18"/>
                <w:lang w:val="en-US"/>
              </w:rPr>
              <w:t xml:space="preserve"> formula </w:t>
            </w:r>
            <w:proofErr w:type="spellStart"/>
            <w:r w:rsidRPr="005C26D0">
              <w:rPr>
                <w:sz w:val="18"/>
                <w:szCs w:val="18"/>
                <w:lang w:val="en-US"/>
              </w:rPr>
              <w:t>prevăzută</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Regulamentul</w:t>
            </w:r>
            <w:proofErr w:type="spellEnd"/>
            <w:r w:rsidRPr="005C26D0">
              <w:rPr>
                <w:sz w:val="18"/>
                <w:szCs w:val="18"/>
                <w:lang w:val="en-US"/>
              </w:rPr>
              <w:t xml:space="preserve"> nr.114/2018, pe </w:t>
            </w:r>
            <w:proofErr w:type="spellStart"/>
            <w:r w:rsidRPr="005C26D0">
              <w:rPr>
                <w:sz w:val="18"/>
                <w:szCs w:val="18"/>
                <w:lang w:val="en-US"/>
              </w:rPr>
              <w:t>baza</w:t>
            </w:r>
            <w:proofErr w:type="spellEnd"/>
            <w:r w:rsidRPr="005C26D0">
              <w:rPr>
                <w:sz w:val="18"/>
                <w:szCs w:val="18"/>
                <w:lang w:val="en-US"/>
              </w:rPr>
              <w:t xml:space="preserve"> </w:t>
            </w:r>
            <w:proofErr w:type="spellStart"/>
            <w:r w:rsidRPr="005C26D0">
              <w:rPr>
                <w:sz w:val="18"/>
                <w:szCs w:val="18"/>
                <w:lang w:val="en-US"/>
              </w:rPr>
              <w:t>tuturor</w:t>
            </w:r>
            <w:proofErr w:type="spellEnd"/>
            <w:r w:rsidRPr="005C26D0">
              <w:rPr>
                <w:sz w:val="18"/>
                <w:szCs w:val="18"/>
                <w:lang w:val="en-US"/>
              </w:rPr>
              <w:t xml:space="preserve"> </w:t>
            </w:r>
            <w:proofErr w:type="spellStart"/>
            <w:r w:rsidRPr="005C26D0">
              <w:rPr>
                <w:sz w:val="18"/>
                <w:szCs w:val="18"/>
                <w:lang w:val="en-US"/>
              </w:rPr>
              <w:t>sensibilităților</w:t>
            </w:r>
            <w:proofErr w:type="spellEnd"/>
            <w:r w:rsidRPr="005C26D0">
              <w:rPr>
                <w:sz w:val="18"/>
                <w:szCs w:val="18"/>
                <w:lang w:val="en-US"/>
              </w:rPr>
              <w:t xml:space="preserve"> </w:t>
            </w:r>
            <w:proofErr w:type="spellStart"/>
            <w:r w:rsidRPr="005C26D0">
              <w:rPr>
                <w:sz w:val="18"/>
                <w:szCs w:val="18"/>
                <w:lang w:val="en-US"/>
              </w:rPr>
              <w:t>ponderate</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subpunctul</w:t>
            </w:r>
            <w:proofErr w:type="spellEnd"/>
            <w:r w:rsidRPr="005C26D0">
              <w:rPr>
                <w:sz w:val="18"/>
                <w:szCs w:val="18"/>
                <w:lang w:val="en-US"/>
              </w:rPr>
              <w:t xml:space="preserve"> 8.2.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ale </w:t>
            </w:r>
            <w:proofErr w:type="spellStart"/>
            <w:r w:rsidRPr="005C26D0">
              <w:rPr>
                <w:sz w:val="18"/>
                <w:szCs w:val="18"/>
                <w:lang w:val="en-US"/>
              </w:rPr>
              <w:t>determinanților</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au </w:t>
            </w:r>
            <w:proofErr w:type="spellStart"/>
            <w:r w:rsidRPr="005C26D0">
              <w:rPr>
                <w:sz w:val="18"/>
                <w:szCs w:val="18"/>
                <w:lang w:val="en-US"/>
              </w:rPr>
              <w:t>fost</w:t>
            </w:r>
            <w:proofErr w:type="spellEnd"/>
            <w:r w:rsidRPr="005C26D0">
              <w:rPr>
                <w:sz w:val="18"/>
                <w:szCs w:val="18"/>
                <w:lang w:val="en-US"/>
              </w:rPr>
              <w:t xml:space="preserve"> </w:t>
            </w:r>
            <w:proofErr w:type="spellStart"/>
            <w:r w:rsidRPr="005C26D0">
              <w:rPr>
                <w:sz w:val="18"/>
                <w:szCs w:val="18"/>
                <w:lang w:val="en-US"/>
              </w:rPr>
              <w:t>încadrați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categoria</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proofErr w:type="gramStart"/>
            <w:r w:rsidRPr="005C26D0">
              <w:rPr>
                <w:sz w:val="18"/>
                <w:szCs w:val="18"/>
                <w:lang w:val="en-US"/>
              </w:rPr>
              <w:t>respectivă</w:t>
            </w:r>
            <w:proofErr w:type="spellEnd"/>
            <w:r w:rsidRPr="005C26D0">
              <w:rPr>
                <w:sz w:val="18"/>
                <w:szCs w:val="18"/>
                <w:lang w:val="en-US"/>
              </w:rPr>
              <w:t>;</w:t>
            </w:r>
            <w:proofErr w:type="gramEnd"/>
          </w:p>
          <w:p w14:paraId="6BC2282E" w14:textId="77777777" w:rsidR="002D6B17" w:rsidRPr="005C26D0" w:rsidRDefault="002D6B17" w:rsidP="002D6B17">
            <w:pPr>
              <w:rPr>
                <w:sz w:val="18"/>
                <w:szCs w:val="18"/>
                <w:lang w:val="en-US"/>
              </w:rPr>
            </w:pPr>
            <w:r w:rsidRPr="005C26D0">
              <w:rPr>
                <w:sz w:val="18"/>
                <w:szCs w:val="18"/>
                <w:lang w:val="en-US"/>
              </w:rPr>
              <w:t xml:space="preserve">8.4. </w:t>
            </w:r>
            <w:proofErr w:type="spellStart"/>
            <w:r w:rsidRPr="005C26D0">
              <w:rPr>
                <w:sz w:val="18"/>
                <w:szCs w:val="18"/>
                <w:lang w:val="en-US"/>
              </w:rPr>
              <w:t>ierarhizează</w:t>
            </w:r>
            <w:proofErr w:type="spellEnd"/>
            <w:r w:rsidRPr="005C26D0">
              <w:rPr>
                <w:sz w:val="18"/>
                <w:szCs w:val="18"/>
                <w:lang w:val="en-US"/>
              </w:rPr>
              <w:t xml:space="preserve"> </w:t>
            </w:r>
            <w:proofErr w:type="spellStart"/>
            <w:r w:rsidRPr="005C26D0">
              <w:rPr>
                <w:sz w:val="18"/>
                <w:szCs w:val="18"/>
                <w:lang w:val="en-US"/>
              </w:rPr>
              <w:t>toate</w:t>
            </w:r>
            <w:proofErr w:type="spellEnd"/>
            <w:r w:rsidRPr="005C26D0">
              <w:rPr>
                <w:sz w:val="18"/>
                <w:szCs w:val="18"/>
                <w:lang w:val="en-US"/>
              </w:rPr>
              <w:t xml:space="preserve"> </w:t>
            </w:r>
            <w:proofErr w:type="spellStart"/>
            <w:r w:rsidRPr="005C26D0">
              <w:rPr>
                <w:sz w:val="18"/>
                <w:szCs w:val="18"/>
                <w:lang w:val="en-US"/>
              </w:rPr>
              <w:t>cerințele</w:t>
            </w:r>
            <w:proofErr w:type="spellEnd"/>
            <w:r w:rsidRPr="005C26D0">
              <w:rPr>
                <w:sz w:val="18"/>
                <w:szCs w:val="18"/>
                <w:lang w:val="en-US"/>
              </w:rPr>
              <w:t xml:space="preserve"> de </w:t>
            </w:r>
            <w:proofErr w:type="spellStart"/>
            <w:r w:rsidRPr="005C26D0">
              <w:rPr>
                <w:sz w:val="18"/>
                <w:szCs w:val="18"/>
                <w:lang w:val="en-US"/>
              </w:rPr>
              <w:t>fonduri</w:t>
            </w:r>
            <w:proofErr w:type="spellEnd"/>
            <w:r w:rsidRPr="005C26D0">
              <w:rPr>
                <w:sz w:val="18"/>
                <w:szCs w:val="18"/>
                <w:lang w:val="en-US"/>
              </w:rPr>
              <w:t xml:space="preserve"> </w:t>
            </w:r>
            <w:proofErr w:type="spellStart"/>
            <w:r w:rsidRPr="005C26D0">
              <w:rPr>
                <w:sz w:val="18"/>
                <w:szCs w:val="18"/>
                <w:lang w:val="en-US"/>
              </w:rPr>
              <w:t>proprii</w:t>
            </w:r>
            <w:proofErr w:type="spellEnd"/>
            <w:r w:rsidRPr="005C26D0">
              <w:rPr>
                <w:sz w:val="18"/>
                <w:szCs w:val="18"/>
                <w:lang w:val="en-US"/>
              </w:rPr>
              <w:t xml:space="preserve"> </w:t>
            </w:r>
            <w:proofErr w:type="spellStart"/>
            <w:r w:rsidRPr="005C26D0">
              <w:rPr>
                <w:sz w:val="18"/>
                <w:szCs w:val="18"/>
                <w:lang w:val="en-US"/>
              </w:rPr>
              <w:t>specifice</w:t>
            </w:r>
            <w:proofErr w:type="spellEnd"/>
            <w:r w:rsidRPr="005C26D0">
              <w:rPr>
                <w:sz w:val="18"/>
                <w:szCs w:val="18"/>
                <w:lang w:val="en-US"/>
              </w:rPr>
              <w:t xml:space="preserve"> </w:t>
            </w:r>
            <w:proofErr w:type="spellStart"/>
            <w:r w:rsidRPr="005C26D0">
              <w:rPr>
                <w:sz w:val="18"/>
                <w:szCs w:val="18"/>
                <w:lang w:val="en-US"/>
              </w:rPr>
              <w:t>unei</w:t>
            </w:r>
            <w:proofErr w:type="spellEnd"/>
            <w:r w:rsidRPr="005C26D0">
              <w:rPr>
                <w:sz w:val="18"/>
                <w:szCs w:val="18"/>
                <w:lang w:val="en-US"/>
              </w:rPr>
              <w:t xml:space="preserve"> </w:t>
            </w:r>
            <w:proofErr w:type="spellStart"/>
            <w:r w:rsidRPr="005C26D0">
              <w:rPr>
                <w:sz w:val="18"/>
                <w:szCs w:val="18"/>
                <w:lang w:val="en-US"/>
              </w:rPr>
              <w:t>clase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riscul</w:t>
            </w:r>
            <w:proofErr w:type="spellEnd"/>
            <w:r w:rsidRPr="005C26D0">
              <w:rPr>
                <w:sz w:val="18"/>
                <w:szCs w:val="18"/>
                <w:lang w:val="en-US"/>
              </w:rPr>
              <w:t xml:space="preserve"> de </w:t>
            </w:r>
            <w:proofErr w:type="spellStart"/>
            <w:r w:rsidRPr="005C26D0">
              <w:rPr>
                <w:sz w:val="18"/>
                <w:szCs w:val="18"/>
                <w:lang w:val="en-US"/>
              </w:rPr>
              <w:t>piață</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subpunctul</w:t>
            </w:r>
            <w:proofErr w:type="spellEnd"/>
            <w:r w:rsidRPr="005C26D0">
              <w:rPr>
                <w:sz w:val="18"/>
                <w:szCs w:val="18"/>
                <w:lang w:val="en-US"/>
              </w:rPr>
              <w:t xml:space="preserve"> 8.3.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de la </w:t>
            </w:r>
            <w:proofErr w:type="spellStart"/>
            <w:r w:rsidRPr="005C26D0">
              <w:rPr>
                <w:sz w:val="18"/>
                <w:szCs w:val="18"/>
                <w:lang w:val="en-US"/>
              </w:rPr>
              <w:t>cea</w:t>
            </w:r>
            <w:proofErr w:type="spellEnd"/>
            <w:r w:rsidRPr="005C26D0">
              <w:rPr>
                <w:sz w:val="18"/>
                <w:szCs w:val="18"/>
                <w:lang w:val="en-US"/>
              </w:rPr>
              <w:t xml:space="preserve"> </w:t>
            </w:r>
            <w:proofErr w:type="spellStart"/>
            <w:r w:rsidRPr="005C26D0">
              <w:rPr>
                <w:sz w:val="18"/>
                <w:szCs w:val="18"/>
                <w:lang w:val="en-US"/>
              </w:rPr>
              <w:t>mai</w:t>
            </w:r>
            <w:proofErr w:type="spellEnd"/>
            <w:r w:rsidRPr="005C26D0">
              <w:rPr>
                <w:sz w:val="18"/>
                <w:szCs w:val="18"/>
                <w:lang w:val="en-US"/>
              </w:rPr>
              <w:t xml:space="preserve"> mare la </w:t>
            </w:r>
            <w:proofErr w:type="spellStart"/>
            <w:r w:rsidRPr="005C26D0">
              <w:rPr>
                <w:sz w:val="18"/>
                <w:szCs w:val="18"/>
                <w:lang w:val="en-US"/>
              </w:rPr>
              <w:t>cea</w:t>
            </w:r>
            <w:proofErr w:type="spellEnd"/>
            <w:r w:rsidRPr="005C26D0">
              <w:rPr>
                <w:sz w:val="18"/>
                <w:szCs w:val="18"/>
                <w:lang w:val="en-US"/>
              </w:rPr>
              <w:t xml:space="preserve">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mică</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valoare</w:t>
            </w:r>
            <w:proofErr w:type="spellEnd"/>
            <w:r w:rsidRPr="005C26D0">
              <w:rPr>
                <w:sz w:val="18"/>
                <w:szCs w:val="18"/>
                <w:lang w:val="en-US"/>
              </w:rPr>
              <w:t xml:space="preserve"> </w:t>
            </w:r>
            <w:proofErr w:type="spellStart"/>
            <w:r w:rsidRPr="005C26D0">
              <w:rPr>
                <w:sz w:val="18"/>
                <w:szCs w:val="18"/>
                <w:lang w:val="en-US"/>
              </w:rPr>
              <w:t>absolută</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gramStart"/>
            <w:r w:rsidRPr="005C26D0">
              <w:rPr>
                <w:sz w:val="18"/>
                <w:szCs w:val="18"/>
                <w:lang w:val="en-US"/>
              </w:rPr>
              <w:t>a</w:t>
            </w:r>
            <w:proofErr w:type="gramEnd"/>
            <w:r w:rsidRPr="005C26D0">
              <w:rPr>
                <w:sz w:val="18"/>
                <w:szCs w:val="18"/>
                <w:lang w:val="en-US"/>
              </w:rPr>
              <w:t xml:space="preserve"> </w:t>
            </w:r>
            <w:proofErr w:type="spellStart"/>
            <w:r w:rsidRPr="005C26D0">
              <w:rPr>
                <w:sz w:val="18"/>
                <w:szCs w:val="18"/>
                <w:lang w:val="en-US"/>
              </w:rPr>
              <w:t>obține</w:t>
            </w:r>
            <w:proofErr w:type="spellEnd"/>
            <w:r w:rsidRPr="005C26D0">
              <w:rPr>
                <w:sz w:val="18"/>
                <w:szCs w:val="18"/>
                <w:lang w:val="en-US"/>
              </w:rPr>
              <w:t xml:space="preserve"> un </w:t>
            </w:r>
            <w:proofErr w:type="spellStart"/>
            <w:r w:rsidRPr="005C26D0">
              <w:rPr>
                <w:sz w:val="18"/>
                <w:szCs w:val="18"/>
                <w:lang w:val="en-US"/>
              </w:rPr>
              <w:t>șir</w:t>
            </w:r>
            <w:proofErr w:type="spellEnd"/>
            <w:r w:rsidRPr="005C26D0">
              <w:rPr>
                <w:sz w:val="18"/>
                <w:szCs w:val="18"/>
                <w:lang w:val="en-US"/>
              </w:rPr>
              <w:t xml:space="preserve"> </w:t>
            </w:r>
            <w:proofErr w:type="spellStart"/>
            <w:r w:rsidRPr="005C26D0">
              <w:rPr>
                <w:sz w:val="18"/>
                <w:szCs w:val="18"/>
                <w:lang w:val="en-US"/>
              </w:rPr>
              <w:t>descrescător</w:t>
            </w:r>
            <w:proofErr w:type="spellEnd"/>
            <w:r w:rsidRPr="005C26D0">
              <w:rPr>
                <w:sz w:val="18"/>
                <w:szCs w:val="18"/>
                <w:lang w:val="en-US"/>
              </w:rPr>
              <w:t xml:space="preserve"> </w:t>
            </w:r>
            <w:proofErr w:type="spellStart"/>
            <w:r w:rsidRPr="005C26D0">
              <w:rPr>
                <w:sz w:val="18"/>
                <w:szCs w:val="18"/>
                <w:lang w:val="en-US"/>
              </w:rPr>
              <w:t>monoton</w:t>
            </w:r>
            <w:proofErr w:type="spellEnd"/>
            <w:r w:rsidRPr="005C26D0">
              <w:rPr>
                <w:sz w:val="18"/>
                <w:szCs w:val="18"/>
                <w:lang w:val="en-US"/>
              </w:rPr>
              <w:t xml:space="preserve"> de </w:t>
            </w:r>
            <w:proofErr w:type="spellStart"/>
            <w:r w:rsidRPr="005C26D0">
              <w:rPr>
                <w:sz w:val="18"/>
                <w:szCs w:val="18"/>
                <w:lang w:val="en-US"/>
              </w:rPr>
              <w:t>termeni</w:t>
            </w:r>
            <w:proofErr w:type="spellEnd"/>
            <w:r w:rsidRPr="005C26D0">
              <w:rPr>
                <w:sz w:val="18"/>
                <w:szCs w:val="18"/>
                <w:lang w:val="en-US"/>
              </w:rPr>
              <w:t xml:space="preserve">, </w:t>
            </w:r>
            <w:proofErr w:type="spellStart"/>
            <w:r w:rsidRPr="005C26D0">
              <w:rPr>
                <w:sz w:val="18"/>
                <w:szCs w:val="18"/>
                <w:lang w:val="en-US"/>
              </w:rPr>
              <w:t>unde</w:t>
            </w:r>
            <w:proofErr w:type="spellEnd"/>
            <w:r w:rsidRPr="005C26D0">
              <w:rPr>
                <w:sz w:val="18"/>
                <w:szCs w:val="18"/>
                <w:lang w:val="en-US"/>
              </w:rPr>
              <w:t xml:space="preserve"> </w:t>
            </w:r>
            <w:proofErr w:type="spellStart"/>
            <w:r w:rsidRPr="005C26D0">
              <w:rPr>
                <w:sz w:val="18"/>
                <w:szCs w:val="18"/>
                <w:lang w:val="en-US"/>
              </w:rPr>
              <w:t>termenul</w:t>
            </w:r>
            <w:proofErr w:type="spellEnd"/>
            <w:r w:rsidRPr="005C26D0">
              <w:rPr>
                <w:sz w:val="18"/>
                <w:szCs w:val="18"/>
                <w:lang w:val="en-US"/>
              </w:rPr>
              <w:t> </w:t>
            </w:r>
            <w:r w:rsidRPr="005C26D0">
              <w:rPr>
                <w:i/>
                <w:iCs/>
                <w:sz w:val="18"/>
                <w:szCs w:val="18"/>
                <w:lang w:val="en-US"/>
              </w:rPr>
              <w:t>a</w:t>
            </w:r>
            <w:r w:rsidRPr="005C26D0">
              <w:rPr>
                <w:i/>
                <w:iCs/>
                <w:sz w:val="18"/>
                <w:szCs w:val="18"/>
                <w:vertAlign w:val="subscript"/>
                <w:lang w:val="en-US"/>
              </w:rPr>
              <w:t>1</w:t>
            </w:r>
            <w:r w:rsidRPr="005C26D0">
              <w:rPr>
                <w:i/>
                <w:iCs/>
                <w:sz w:val="18"/>
                <w:szCs w:val="18"/>
                <w:lang w:val="en-US"/>
              </w:rPr>
              <w:t> </w:t>
            </w:r>
            <w:proofErr w:type="spellStart"/>
            <w:r w:rsidRPr="005C26D0">
              <w:rPr>
                <w:sz w:val="18"/>
                <w:szCs w:val="18"/>
                <w:lang w:val="en-US"/>
              </w:rPr>
              <w:t>este</w:t>
            </w:r>
            <w:proofErr w:type="spellEnd"/>
            <w:r w:rsidRPr="005C26D0">
              <w:rPr>
                <w:sz w:val="18"/>
                <w:szCs w:val="18"/>
                <w:lang w:val="en-US"/>
              </w:rPr>
              <w:t xml:space="preserve"> </w:t>
            </w:r>
            <w:proofErr w:type="spellStart"/>
            <w:r w:rsidRPr="005C26D0">
              <w:rPr>
                <w:sz w:val="18"/>
                <w:szCs w:val="18"/>
                <w:lang w:val="en-US"/>
              </w:rPr>
              <w:t>cea</w:t>
            </w:r>
            <w:proofErr w:type="spellEnd"/>
            <w:r w:rsidRPr="005C26D0">
              <w:rPr>
                <w:sz w:val="18"/>
                <w:szCs w:val="18"/>
                <w:lang w:val="en-US"/>
              </w:rPr>
              <w:t xml:space="preserve"> </w:t>
            </w:r>
            <w:proofErr w:type="spellStart"/>
            <w:r w:rsidRPr="005C26D0">
              <w:rPr>
                <w:sz w:val="18"/>
                <w:szCs w:val="18"/>
                <w:lang w:val="en-US"/>
              </w:rPr>
              <w:t>mai</w:t>
            </w:r>
            <w:proofErr w:type="spellEnd"/>
            <w:r w:rsidRPr="005C26D0">
              <w:rPr>
                <w:sz w:val="18"/>
                <w:szCs w:val="18"/>
                <w:lang w:val="en-US"/>
              </w:rPr>
              <w:t xml:space="preserve"> mare </w:t>
            </w:r>
            <w:proofErr w:type="spellStart"/>
            <w:r w:rsidRPr="005C26D0">
              <w:rPr>
                <w:sz w:val="18"/>
                <w:szCs w:val="18"/>
                <w:lang w:val="en-US"/>
              </w:rPr>
              <w:t>valoare</w:t>
            </w:r>
            <w:proofErr w:type="spellEnd"/>
            <w:r w:rsidRPr="005C26D0">
              <w:rPr>
                <w:sz w:val="18"/>
                <w:szCs w:val="18"/>
                <w:lang w:val="en-US"/>
              </w:rPr>
              <w:t xml:space="preserve"> </w:t>
            </w:r>
            <w:proofErr w:type="spellStart"/>
            <w:r w:rsidRPr="005C26D0">
              <w:rPr>
                <w:sz w:val="18"/>
                <w:szCs w:val="18"/>
                <w:lang w:val="en-US"/>
              </w:rPr>
              <w:t>absolută</w:t>
            </w:r>
            <w:proofErr w:type="spellEnd"/>
            <w:r w:rsidRPr="005C26D0">
              <w:rPr>
                <w:sz w:val="18"/>
                <w:szCs w:val="18"/>
                <w:lang w:val="en-US"/>
              </w:rPr>
              <w:t>, </w:t>
            </w:r>
            <w:r w:rsidRPr="005C26D0">
              <w:rPr>
                <w:i/>
                <w:iCs/>
                <w:sz w:val="18"/>
                <w:szCs w:val="18"/>
                <w:lang w:val="en-US"/>
              </w:rPr>
              <w:t>a</w:t>
            </w:r>
            <w:r w:rsidRPr="005C26D0">
              <w:rPr>
                <w:i/>
                <w:iCs/>
                <w:sz w:val="18"/>
                <w:szCs w:val="18"/>
                <w:vertAlign w:val="subscript"/>
                <w:lang w:val="en-US"/>
              </w:rPr>
              <w:t>2</w:t>
            </w:r>
            <w:r w:rsidRPr="005C26D0">
              <w:rPr>
                <w:i/>
                <w:iCs/>
                <w:sz w:val="18"/>
                <w:szCs w:val="18"/>
                <w:lang w:val="en-US"/>
              </w:rPr>
              <w:t> </w:t>
            </w:r>
            <w:proofErr w:type="spellStart"/>
            <w:r w:rsidRPr="005C26D0">
              <w:rPr>
                <w:sz w:val="18"/>
                <w:szCs w:val="18"/>
                <w:lang w:val="en-US"/>
              </w:rPr>
              <w:t>este</w:t>
            </w:r>
            <w:proofErr w:type="spellEnd"/>
            <w:r w:rsidRPr="005C26D0">
              <w:rPr>
                <w:sz w:val="18"/>
                <w:szCs w:val="18"/>
                <w:lang w:val="en-US"/>
              </w:rPr>
              <w:t xml:space="preserve"> </w:t>
            </w:r>
            <w:proofErr w:type="spellStart"/>
            <w:r w:rsidRPr="005C26D0">
              <w:rPr>
                <w:sz w:val="18"/>
                <w:szCs w:val="18"/>
                <w:lang w:val="en-US"/>
              </w:rPr>
              <w:t>următoarea</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w:t>
            </w:r>
            <w:proofErr w:type="spellStart"/>
            <w:r w:rsidRPr="005C26D0">
              <w:rPr>
                <w:sz w:val="18"/>
                <w:szCs w:val="18"/>
                <w:lang w:val="en-US"/>
              </w:rPr>
              <w:t>așa</w:t>
            </w:r>
            <w:proofErr w:type="spellEnd"/>
            <w:r w:rsidRPr="005C26D0">
              <w:rPr>
                <w:sz w:val="18"/>
                <w:szCs w:val="18"/>
                <w:lang w:val="en-US"/>
              </w:rPr>
              <w:t xml:space="preserve"> </w:t>
            </w:r>
            <w:proofErr w:type="spellStart"/>
            <w:r w:rsidRPr="005C26D0">
              <w:rPr>
                <w:sz w:val="18"/>
                <w:szCs w:val="18"/>
                <w:lang w:val="en-US"/>
              </w:rPr>
              <w:t>mai</w:t>
            </w:r>
            <w:proofErr w:type="spellEnd"/>
            <w:r w:rsidRPr="005C26D0">
              <w:rPr>
                <w:sz w:val="18"/>
                <w:szCs w:val="18"/>
                <w:lang w:val="en-US"/>
              </w:rPr>
              <w:t xml:space="preserve"> </w:t>
            </w:r>
            <w:proofErr w:type="spellStart"/>
            <w:proofErr w:type="gramStart"/>
            <w:r w:rsidRPr="005C26D0">
              <w:rPr>
                <w:sz w:val="18"/>
                <w:szCs w:val="18"/>
                <w:lang w:val="en-US"/>
              </w:rPr>
              <w:t>departe</w:t>
            </w:r>
            <w:proofErr w:type="spellEnd"/>
            <w:r w:rsidRPr="005C26D0">
              <w:rPr>
                <w:sz w:val="18"/>
                <w:szCs w:val="18"/>
                <w:lang w:val="en-US"/>
              </w:rPr>
              <w:t>;</w:t>
            </w:r>
            <w:proofErr w:type="gramEnd"/>
          </w:p>
          <w:p w14:paraId="128C53BE" w14:textId="77777777" w:rsidR="002D6B17" w:rsidRPr="005C26D0" w:rsidRDefault="002D6B17" w:rsidP="002D6B17">
            <w:pPr>
              <w:rPr>
                <w:sz w:val="18"/>
                <w:szCs w:val="18"/>
                <w:lang w:val="en-US"/>
              </w:rPr>
            </w:pPr>
            <w:r w:rsidRPr="005C26D0">
              <w:rPr>
                <w:sz w:val="18"/>
                <w:szCs w:val="18"/>
                <w:lang w:val="en-US"/>
              </w:rPr>
              <w:t xml:space="preserve">8.5.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fiecare</w:t>
            </w:r>
            <w:proofErr w:type="spellEnd"/>
            <w:r w:rsidRPr="005C26D0">
              <w:rPr>
                <w:sz w:val="18"/>
                <w:szCs w:val="18"/>
                <w:lang w:val="en-US"/>
              </w:rPr>
              <w:t xml:space="preserve"> termen </w:t>
            </w:r>
            <w:r w:rsidRPr="005C26D0">
              <w:rPr>
                <w:i/>
                <w:iCs/>
                <w:sz w:val="18"/>
                <w:szCs w:val="18"/>
                <w:lang w:val="en-US"/>
              </w:rPr>
              <w:t>a</w:t>
            </w:r>
            <w:r w:rsidRPr="005C26D0">
              <w:rPr>
                <w:i/>
                <w:iCs/>
                <w:sz w:val="18"/>
                <w:szCs w:val="18"/>
                <w:vertAlign w:val="subscript"/>
                <w:lang w:val="en-US"/>
              </w:rPr>
              <w:t>i</w:t>
            </w:r>
            <w:r w:rsidRPr="005C26D0">
              <w:rPr>
                <w:i/>
                <w:iCs/>
                <w:sz w:val="18"/>
                <w:szCs w:val="18"/>
                <w:lang w:val="en-US"/>
              </w:rPr>
              <w:t> </w:t>
            </w:r>
            <w:proofErr w:type="spellStart"/>
            <w:r w:rsidRPr="005C26D0">
              <w:rPr>
                <w:sz w:val="18"/>
                <w:szCs w:val="18"/>
                <w:lang w:val="en-US"/>
              </w:rPr>
              <w:t>calculat</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w:t>
            </w:r>
            <w:proofErr w:type="spellStart"/>
            <w:r w:rsidRPr="005C26D0">
              <w:rPr>
                <w:sz w:val="18"/>
                <w:szCs w:val="18"/>
                <w:lang w:val="en-US"/>
              </w:rPr>
              <w:t>ierarhizat</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subpunctul</w:t>
            </w:r>
            <w:proofErr w:type="spellEnd"/>
            <w:r w:rsidRPr="005C26D0">
              <w:rPr>
                <w:sz w:val="18"/>
                <w:szCs w:val="18"/>
                <w:lang w:val="en-US"/>
              </w:rPr>
              <w:t xml:space="preserve"> 8.4.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ordinea</w:t>
            </w:r>
            <w:proofErr w:type="spellEnd"/>
            <w:r w:rsidRPr="005C26D0">
              <w:rPr>
                <w:sz w:val="18"/>
                <w:szCs w:val="18"/>
                <w:lang w:val="en-US"/>
              </w:rPr>
              <w:t xml:space="preserve"> care </w:t>
            </w:r>
            <w:proofErr w:type="spellStart"/>
            <w:r w:rsidRPr="005C26D0">
              <w:rPr>
                <w:sz w:val="18"/>
                <w:szCs w:val="18"/>
                <w:lang w:val="en-US"/>
              </w:rPr>
              <w:t>rezultă</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urma</w:t>
            </w:r>
            <w:proofErr w:type="spellEnd"/>
            <w:r w:rsidRPr="005C26D0">
              <w:rPr>
                <w:sz w:val="18"/>
                <w:szCs w:val="18"/>
                <w:lang w:val="en-US"/>
              </w:rPr>
              <w:t xml:space="preserve"> </w:t>
            </w:r>
            <w:proofErr w:type="spellStart"/>
            <w:r w:rsidRPr="005C26D0">
              <w:rPr>
                <w:sz w:val="18"/>
                <w:szCs w:val="18"/>
                <w:lang w:val="en-US"/>
              </w:rPr>
              <w:t>ierarhizării</w:t>
            </w:r>
            <w:proofErr w:type="spellEnd"/>
            <w:r w:rsidRPr="005C26D0">
              <w:rPr>
                <w:sz w:val="18"/>
                <w:szCs w:val="18"/>
                <w:lang w:val="en-US"/>
              </w:rPr>
              <w:t xml:space="preserve">, </w:t>
            </w:r>
            <w:proofErr w:type="spellStart"/>
            <w:r w:rsidRPr="005C26D0">
              <w:rPr>
                <w:sz w:val="18"/>
                <w:szCs w:val="18"/>
                <w:lang w:val="en-US"/>
              </w:rPr>
              <w:t>verifică</w:t>
            </w:r>
            <w:proofErr w:type="spellEnd"/>
            <w:r w:rsidRPr="005C26D0">
              <w:rPr>
                <w:sz w:val="18"/>
                <w:szCs w:val="18"/>
                <w:lang w:val="en-US"/>
              </w:rPr>
              <w:t xml:space="preserve"> </w:t>
            </w:r>
            <w:proofErr w:type="spellStart"/>
            <w:r w:rsidRPr="005C26D0">
              <w:rPr>
                <w:sz w:val="18"/>
                <w:szCs w:val="18"/>
                <w:lang w:val="en-US"/>
              </w:rPr>
              <w:t>dacă</w:t>
            </w:r>
            <w:proofErr w:type="spellEnd"/>
            <w:r w:rsidRPr="005C26D0">
              <w:rPr>
                <w:sz w:val="18"/>
                <w:szCs w:val="18"/>
                <w:lang w:val="en-US"/>
              </w:rPr>
              <w:t xml:space="preserve"> </w:t>
            </w:r>
            <w:proofErr w:type="spellStart"/>
            <w:r w:rsidRPr="005C26D0">
              <w:rPr>
                <w:sz w:val="18"/>
                <w:szCs w:val="18"/>
                <w:lang w:val="en-US"/>
              </w:rPr>
              <w:t>este</w:t>
            </w:r>
            <w:proofErr w:type="spellEnd"/>
            <w:r w:rsidRPr="005C26D0">
              <w:rPr>
                <w:sz w:val="18"/>
                <w:szCs w:val="18"/>
                <w:lang w:val="en-US"/>
              </w:rPr>
              <w:t xml:space="preserve"> </w:t>
            </w:r>
            <w:proofErr w:type="spellStart"/>
            <w:r w:rsidRPr="005C26D0">
              <w:rPr>
                <w:sz w:val="18"/>
                <w:szCs w:val="18"/>
                <w:lang w:val="en-US"/>
              </w:rPr>
              <w:t>îndeplinită</w:t>
            </w:r>
            <w:proofErr w:type="spellEnd"/>
            <w:r w:rsidRPr="005C26D0">
              <w:rPr>
                <w:sz w:val="18"/>
                <w:szCs w:val="18"/>
                <w:lang w:val="en-US"/>
              </w:rPr>
              <w:t xml:space="preserve"> </w:t>
            </w:r>
            <w:proofErr w:type="spellStart"/>
            <w:r w:rsidRPr="005C26D0">
              <w:rPr>
                <w:sz w:val="18"/>
                <w:szCs w:val="18"/>
                <w:lang w:val="en-US"/>
              </w:rPr>
              <w:t>următoarea</w:t>
            </w:r>
            <w:proofErr w:type="spellEnd"/>
            <w:r w:rsidRPr="005C26D0">
              <w:rPr>
                <w:sz w:val="18"/>
                <w:szCs w:val="18"/>
                <w:lang w:val="en-US"/>
              </w:rPr>
              <w:t xml:space="preserve"> </w:t>
            </w:r>
            <w:proofErr w:type="spellStart"/>
            <w:r w:rsidRPr="005C26D0">
              <w:rPr>
                <w:sz w:val="18"/>
                <w:szCs w:val="18"/>
                <w:lang w:val="en-US"/>
              </w:rPr>
              <w:t>condiție</w:t>
            </w:r>
            <w:proofErr w:type="spellEnd"/>
            <w:r w:rsidRPr="005C26D0">
              <w:rPr>
                <w:sz w:val="18"/>
                <w:szCs w:val="18"/>
                <w:lang w:val="en-US"/>
              </w:rPr>
              <w:t>:</w:t>
            </w:r>
          </w:p>
          <w:p w14:paraId="2C754A36" w14:textId="77777777" w:rsidR="002D6B17" w:rsidRPr="005C26D0" w:rsidRDefault="002D6B17" w:rsidP="002D6B17">
            <w:pPr>
              <w:rPr>
                <w:sz w:val="18"/>
                <w:szCs w:val="18"/>
              </w:rPr>
            </w:pPr>
            <w:r w:rsidRPr="005C26D0">
              <w:rPr>
                <w:noProof/>
                <w:sz w:val="18"/>
                <w:szCs w:val="18"/>
              </w:rPr>
              <w:drawing>
                <wp:inline distT="0" distB="0" distL="0" distR="0" wp14:anchorId="50E7593B" wp14:editId="56570AFE">
                  <wp:extent cx="971550" cy="419100"/>
                  <wp:effectExtent l="0" t="0" r="0" b="0"/>
                  <wp:docPr id="50" name="Picture 50"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419100"/>
                          </a:xfrm>
                          <a:prstGeom prst="rect">
                            <a:avLst/>
                          </a:prstGeom>
                          <a:noFill/>
                          <a:ln>
                            <a:noFill/>
                          </a:ln>
                        </pic:spPr>
                      </pic:pic>
                    </a:graphicData>
                  </a:graphic>
                </wp:inline>
              </w:drawing>
            </w:r>
          </w:p>
          <w:p w14:paraId="2AACB736" w14:textId="77777777" w:rsidR="002D6B17" w:rsidRPr="005C26D0" w:rsidRDefault="002D6B17" w:rsidP="002D6B17">
            <w:pPr>
              <w:rPr>
                <w:i/>
                <w:iCs/>
                <w:sz w:val="18"/>
                <w:szCs w:val="18"/>
                <w:lang w:val="en-US"/>
              </w:rPr>
            </w:pPr>
            <w:proofErr w:type="spellStart"/>
            <w:r w:rsidRPr="005C26D0">
              <w:rPr>
                <w:sz w:val="18"/>
                <w:szCs w:val="18"/>
                <w:lang w:val="en-US"/>
              </w:rPr>
              <w:t>unde</w:t>
            </w:r>
            <w:proofErr w:type="spellEnd"/>
            <w:r w:rsidRPr="005C26D0">
              <w:rPr>
                <w:sz w:val="18"/>
                <w:szCs w:val="18"/>
                <w:lang w:val="en-US"/>
              </w:rPr>
              <w:t>:</w:t>
            </w:r>
            <w:r w:rsidRPr="005C26D0">
              <w:rPr>
                <w:i/>
                <w:iCs/>
                <w:sz w:val="18"/>
                <w:szCs w:val="18"/>
                <w:lang w:val="en-US"/>
              </w:rPr>
              <w:t xml:space="preserve"> </w:t>
            </w:r>
          </w:p>
          <w:p w14:paraId="3EFD51EF" w14:textId="77777777" w:rsidR="002D6B17" w:rsidRPr="005C26D0" w:rsidRDefault="002D6B17" w:rsidP="002D6B17">
            <w:pPr>
              <w:rPr>
                <w:i/>
                <w:iCs/>
                <w:sz w:val="18"/>
                <w:szCs w:val="18"/>
                <w:lang w:val="en-US"/>
              </w:rPr>
            </w:pPr>
            <w:r w:rsidRPr="005C26D0">
              <w:rPr>
                <w:i/>
                <w:iCs/>
                <w:sz w:val="18"/>
                <w:szCs w:val="18"/>
                <w:lang w:val="en-US"/>
              </w:rPr>
              <w:t>i =</w:t>
            </w:r>
            <w:r w:rsidRPr="005C26D0">
              <w:rPr>
                <w:sz w:val="18"/>
                <w:szCs w:val="18"/>
                <w:lang w:val="en-US"/>
              </w:rPr>
              <w:t> </w:t>
            </w:r>
            <w:proofErr w:type="spellStart"/>
            <w:r w:rsidRPr="005C26D0">
              <w:rPr>
                <w:sz w:val="18"/>
                <w:szCs w:val="18"/>
                <w:lang w:val="en-US"/>
              </w:rPr>
              <w:t>indicele</w:t>
            </w:r>
            <w:proofErr w:type="spellEnd"/>
            <w:r w:rsidRPr="005C26D0">
              <w:rPr>
                <w:sz w:val="18"/>
                <w:szCs w:val="18"/>
                <w:lang w:val="en-US"/>
              </w:rPr>
              <w:t xml:space="preserve"> care </w:t>
            </w:r>
            <w:proofErr w:type="spellStart"/>
            <w:r w:rsidRPr="005C26D0">
              <w:rPr>
                <w:sz w:val="18"/>
                <w:szCs w:val="18"/>
                <w:lang w:val="en-US"/>
              </w:rPr>
              <w:t>desemnează</w:t>
            </w:r>
            <w:proofErr w:type="spellEnd"/>
            <w:r w:rsidRPr="005C26D0">
              <w:rPr>
                <w:sz w:val="18"/>
                <w:szCs w:val="18"/>
                <w:lang w:val="en-US"/>
              </w:rPr>
              <w:t xml:space="preserve"> </w:t>
            </w:r>
            <w:proofErr w:type="spellStart"/>
            <w:r w:rsidRPr="005C26D0">
              <w:rPr>
                <w:sz w:val="18"/>
                <w:szCs w:val="18"/>
                <w:lang w:val="en-US"/>
              </w:rPr>
              <w:t>categoriile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punctul</w:t>
            </w:r>
            <w:proofErr w:type="spellEnd"/>
            <w:r w:rsidRPr="005C26D0">
              <w:rPr>
                <w:sz w:val="18"/>
                <w:szCs w:val="18"/>
                <w:lang w:val="en-US"/>
              </w:rPr>
              <w:t xml:space="preserve"> 55 din </w:t>
            </w: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 xml:space="preserve">, </w:t>
            </w:r>
            <w:proofErr w:type="spellStart"/>
            <w:r w:rsidRPr="005C26D0">
              <w:rPr>
                <w:sz w:val="18"/>
                <w:szCs w:val="18"/>
                <w:lang w:val="en-US"/>
              </w:rPr>
              <w:t>ierarhizate</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subpunctul</w:t>
            </w:r>
            <w:proofErr w:type="spellEnd"/>
            <w:r w:rsidRPr="005C26D0">
              <w:rPr>
                <w:sz w:val="18"/>
                <w:szCs w:val="18"/>
                <w:lang w:val="en-US"/>
              </w:rPr>
              <w:t xml:space="preserve"> 8.4.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ordinea</w:t>
            </w:r>
            <w:proofErr w:type="spellEnd"/>
            <w:r w:rsidRPr="005C26D0">
              <w:rPr>
                <w:sz w:val="18"/>
                <w:szCs w:val="18"/>
                <w:lang w:val="en-US"/>
              </w:rPr>
              <w:t xml:space="preserve"> care </w:t>
            </w:r>
            <w:proofErr w:type="spellStart"/>
            <w:r w:rsidRPr="005C26D0">
              <w:rPr>
                <w:sz w:val="18"/>
                <w:szCs w:val="18"/>
                <w:lang w:val="en-US"/>
              </w:rPr>
              <w:t>rezultă</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urma</w:t>
            </w:r>
            <w:proofErr w:type="spellEnd"/>
            <w:r w:rsidRPr="005C26D0">
              <w:rPr>
                <w:sz w:val="18"/>
                <w:szCs w:val="18"/>
                <w:lang w:val="en-US"/>
              </w:rPr>
              <w:t xml:space="preserve"> </w:t>
            </w:r>
            <w:proofErr w:type="spellStart"/>
            <w:r w:rsidRPr="005C26D0">
              <w:rPr>
                <w:sz w:val="18"/>
                <w:szCs w:val="18"/>
                <w:lang w:val="en-US"/>
              </w:rPr>
              <w:t>ierarhizării</w:t>
            </w:r>
            <w:proofErr w:type="spellEnd"/>
            <w:r w:rsidRPr="005C26D0">
              <w:rPr>
                <w:sz w:val="18"/>
                <w:szCs w:val="18"/>
                <w:lang w:val="en-US"/>
              </w:rPr>
              <w:t xml:space="preserve"> </w:t>
            </w:r>
            <w:proofErr w:type="gramStart"/>
            <w:r w:rsidRPr="005C26D0">
              <w:rPr>
                <w:sz w:val="18"/>
                <w:szCs w:val="18"/>
                <w:lang w:val="en-US"/>
              </w:rPr>
              <w:t>respective;</w:t>
            </w:r>
            <w:proofErr w:type="gramEnd"/>
            <w:r w:rsidRPr="005C26D0">
              <w:rPr>
                <w:i/>
                <w:iCs/>
                <w:sz w:val="18"/>
                <w:szCs w:val="18"/>
                <w:lang w:val="en-US"/>
              </w:rPr>
              <w:t xml:space="preserve"> </w:t>
            </w:r>
          </w:p>
          <w:p w14:paraId="173D03F6" w14:textId="77777777" w:rsidR="002D6B17" w:rsidRPr="005C26D0" w:rsidRDefault="002D6B17" w:rsidP="002D6B17">
            <w:pPr>
              <w:rPr>
                <w:sz w:val="18"/>
                <w:szCs w:val="18"/>
                <w:lang w:val="en-US"/>
              </w:rPr>
            </w:pPr>
            <w:r w:rsidRPr="005C26D0">
              <w:rPr>
                <w:i/>
                <w:iCs/>
                <w:sz w:val="18"/>
                <w:szCs w:val="18"/>
                <w:lang w:val="en-US"/>
              </w:rPr>
              <w:t>Y</w:t>
            </w:r>
            <w:r w:rsidRPr="005C26D0">
              <w:rPr>
                <w:sz w:val="18"/>
                <w:szCs w:val="18"/>
                <w:lang w:val="en-US"/>
              </w:rPr>
              <w:t xml:space="preserve"> % = </w:t>
            </w:r>
            <w:proofErr w:type="gramStart"/>
            <w:r w:rsidRPr="005C26D0">
              <w:rPr>
                <w:sz w:val="18"/>
                <w:szCs w:val="18"/>
                <w:lang w:val="en-US"/>
              </w:rPr>
              <w:t>60 %;</w:t>
            </w:r>
            <w:proofErr w:type="gramEnd"/>
          </w:p>
          <w:p w14:paraId="1ACDA872" w14:textId="77777777" w:rsidR="002D6B17" w:rsidRPr="005C26D0" w:rsidRDefault="002D6B17" w:rsidP="002D6B17">
            <w:pPr>
              <w:rPr>
                <w:sz w:val="18"/>
                <w:szCs w:val="18"/>
                <w:lang w:val="en-US"/>
              </w:rPr>
            </w:pPr>
            <w:r w:rsidRPr="005C26D0">
              <w:rPr>
                <w:sz w:val="18"/>
                <w:szCs w:val="18"/>
                <w:lang w:val="en-US"/>
              </w:rPr>
              <w:t xml:space="preserve">8.6. </w:t>
            </w:r>
            <w:proofErr w:type="spellStart"/>
            <w:r w:rsidRPr="005C26D0">
              <w:rPr>
                <w:sz w:val="18"/>
                <w:szCs w:val="18"/>
                <w:lang w:val="en-US"/>
              </w:rPr>
              <w:t>consideră</w:t>
            </w:r>
            <w:proofErr w:type="spellEnd"/>
            <w:r w:rsidRPr="005C26D0">
              <w:rPr>
                <w:sz w:val="18"/>
                <w:szCs w:val="18"/>
                <w:lang w:val="en-US"/>
              </w:rPr>
              <w:t xml:space="preser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semnificativi</w:t>
            </w:r>
            <w:proofErr w:type="spellEnd"/>
            <w:r w:rsidRPr="005C26D0">
              <w:rPr>
                <w:sz w:val="18"/>
                <w:szCs w:val="18"/>
                <w:lang w:val="en-US"/>
              </w:rPr>
              <w:t>:</w:t>
            </w:r>
          </w:p>
          <w:p w14:paraId="5EC3DA1B" w14:textId="77777777" w:rsidR="002D6B17" w:rsidRPr="005C26D0" w:rsidRDefault="002D6B17" w:rsidP="002D6B17">
            <w:pPr>
              <w:rPr>
                <w:sz w:val="18"/>
                <w:szCs w:val="18"/>
                <w:lang w:val="en-US"/>
              </w:rPr>
            </w:pPr>
            <w:r w:rsidRPr="005C26D0">
              <w:rPr>
                <w:sz w:val="18"/>
                <w:szCs w:val="18"/>
                <w:lang w:val="en-US"/>
              </w:rPr>
              <w:t xml:space="preserve">8.6.1.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corespund</w:t>
            </w:r>
            <w:proofErr w:type="spellEnd"/>
            <w:r w:rsidRPr="005C26D0">
              <w:rPr>
                <w:sz w:val="18"/>
                <w:szCs w:val="18"/>
                <w:lang w:val="en-US"/>
              </w:rPr>
              <w:t xml:space="preserve"> </w:t>
            </w:r>
            <w:proofErr w:type="spellStart"/>
            <w:r w:rsidRPr="005C26D0">
              <w:rPr>
                <w:sz w:val="18"/>
                <w:szCs w:val="18"/>
                <w:lang w:val="en-US"/>
              </w:rPr>
              <w:t>categoriilor</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care </w:t>
            </w:r>
            <w:proofErr w:type="spellStart"/>
            <w:r w:rsidRPr="005C26D0">
              <w:rPr>
                <w:sz w:val="18"/>
                <w:szCs w:val="18"/>
                <w:lang w:val="en-US"/>
              </w:rPr>
              <w:t>este</w:t>
            </w:r>
            <w:proofErr w:type="spellEnd"/>
            <w:r w:rsidRPr="005C26D0">
              <w:rPr>
                <w:sz w:val="18"/>
                <w:szCs w:val="18"/>
                <w:lang w:val="en-US"/>
              </w:rPr>
              <w:t xml:space="preserve"> </w:t>
            </w:r>
            <w:proofErr w:type="spellStart"/>
            <w:r w:rsidRPr="005C26D0">
              <w:rPr>
                <w:sz w:val="18"/>
                <w:szCs w:val="18"/>
                <w:lang w:val="en-US"/>
              </w:rPr>
              <w:t>îndeplinită</w:t>
            </w:r>
            <w:proofErr w:type="spellEnd"/>
            <w:r w:rsidRPr="005C26D0">
              <w:rPr>
                <w:sz w:val="18"/>
                <w:szCs w:val="18"/>
                <w:lang w:val="en-US"/>
              </w:rPr>
              <w:t xml:space="preserve"> </w:t>
            </w:r>
            <w:proofErr w:type="spellStart"/>
            <w:r w:rsidRPr="005C26D0">
              <w:rPr>
                <w:sz w:val="18"/>
                <w:szCs w:val="18"/>
                <w:lang w:val="en-US"/>
              </w:rPr>
              <w:t>condiția</w:t>
            </w:r>
            <w:proofErr w:type="spellEnd"/>
            <w:r w:rsidRPr="005C26D0">
              <w:rPr>
                <w:sz w:val="18"/>
                <w:szCs w:val="18"/>
                <w:lang w:val="en-US"/>
              </w:rPr>
              <w:t xml:space="preserve"> </w:t>
            </w:r>
            <w:proofErr w:type="spellStart"/>
            <w:r w:rsidRPr="005C26D0">
              <w:rPr>
                <w:sz w:val="18"/>
                <w:szCs w:val="18"/>
                <w:lang w:val="en-US"/>
              </w:rPr>
              <w:t>prevăzută</w:t>
            </w:r>
            <w:proofErr w:type="spellEnd"/>
            <w:r w:rsidRPr="005C26D0">
              <w:rPr>
                <w:sz w:val="18"/>
                <w:szCs w:val="18"/>
                <w:lang w:val="en-US"/>
              </w:rPr>
              <w:t xml:space="preserve"> la </w:t>
            </w:r>
            <w:proofErr w:type="spellStart"/>
            <w:r w:rsidRPr="005C26D0">
              <w:rPr>
                <w:sz w:val="18"/>
                <w:szCs w:val="18"/>
                <w:lang w:val="en-US"/>
              </w:rPr>
              <w:t>subpunctul</w:t>
            </w:r>
            <w:proofErr w:type="spellEnd"/>
            <w:r w:rsidRPr="005C26D0">
              <w:rPr>
                <w:sz w:val="18"/>
                <w:szCs w:val="18"/>
                <w:lang w:val="en-US"/>
              </w:rPr>
              <w:t xml:space="preserve"> 8.5. din </w:t>
            </w:r>
            <w:proofErr w:type="spellStart"/>
            <w:r w:rsidRPr="005C26D0">
              <w:rPr>
                <w:sz w:val="18"/>
                <w:szCs w:val="18"/>
                <w:lang w:val="en-US"/>
              </w:rPr>
              <w:t>prezenta</w:t>
            </w:r>
            <w:proofErr w:type="spellEnd"/>
            <w:r w:rsidRPr="005C26D0">
              <w:rPr>
                <w:sz w:val="18"/>
                <w:szCs w:val="18"/>
                <w:lang w:val="en-US"/>
              </w:rPr>
              <w:t xml:space="preserve"> </w:t>
            </w:r>
            <w:proofErr w:type="spellStart"/>
            <w:proofErr w:type="gramStart"/>
            <w:r w:rsidRPr="005C26D0">
              <w:rPr>
                <w:sz w:val="18"/>
                <w:szCs w:val="18"/>
                <w:lang w:val="en-US"/>
              </w:rPr>
              <w:t>anexă</w:t>
            </w:r>
            <w:proofErr w:type="spellEnd"/>
            <w:r w:rsidRPr="005C26D0">
              <w:rPr>
                <w:sz w:val="18"/>
                <w:szCs w:val="18"/>
                <w:lang w:val="en-US"/>
              </w:rPr>
              <w:t>;</w:t>
            </w:r>
            <w:proofErr w:type="gramEnd"/>
          </w:p>
          <w:p w14:paraId="1A931C98" w14:textId="77777777" w:rsidR="002D6B17" w:rsidRPr="005C26D0" w:rsidRDefault="002D6B17" w:rsidP="002D6B17">
            <w:pPr>
              <w:rPr>
                <w:sz w:val="18"/>
                <w:szCs w:val="18"/>
                <w:lang w:val="en-US"/>
              </w:rPr>
            </w:pPr>
            <w:r w:rsidRPr="005C26D0">
              <w:rPr>
                <w:sz w:val="18"/>
                <w:szCs w:val="18"/>
                <w:lang w:val="en-US"/>
              </w:rPr>
              <w:t xml:space="preserve">8.6.2.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corespund</w:t>
            </w:r>
            <w:proofErr w:type="spellEnd"/>
            <w:r w:rsidRPr="005C26D0">
              <w:rPr>
                <w:sz w:val="18"/>
                <w:szCs w:val="18"/>
                <w:lang w:val="en-US"/>
              </w:rPr>
              <w:t xml:space="preserve"> </w:t>
            </w:r>
            <w:proofErr w:type="spellStart"/>
            <w:r w:rsidRPr="005C26D0">
              <w:rPr>
                <w:sz w:val="18"/>
                <w:szCs w:val="18"/>
                <w:lang w:val="en-US"/>
              </w:rPr>
              <w:t>primei</w:t>
            </w:r>
            <w:proofErr w:type="spellEnd"/>
            <w:r w:rsidRPr="005C26D0">
              <w:rPr>
                <w:sz w:val="18"/>
                <w:szCs w:val="18"/>
                <w:lang w:val="en-US"/>
              </w:rPr>
              <w:t xml:space="preserve"> </w:t>
            </w:r>
            <w:proofErr w:type="spellStart"/>
            <w:r w:rsidRPr="005C26D0">
              <w:rPr>
                <w:sz w:val="18"/>
                <w:szCs w:val="18"/>
                <w:lang w:val="en-US"/>
              </w:rPr>
              <w:t>categorii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care </w:t>
            </w:r>
            <w:proofErr w:type="spellStart"/>
            <w:r w:rsidRPr="005C26D0">
              <w:rPr>
                <w:sz w:val="18"/>
                <w:szCs w:val="18"/>
                <w:lang w:val="en-US"/>
              </w:rPr>
              <w:t>condiția</w:t>
            </w:r>
            <w:proofErr w:type="spellEnd"/>
            <w:r w:rsidRPr="005C26D0">
              <w:rPr>
                <w:sz w:val="18"/>
                <w:szCs w:val="18"/>
                <w:lang w:val="en-US"/>
              </w:rPr>
              <w:t xml:space="preserve"> </w:t>
            </w:r>
            <w:proofErr w:type="spellStart"/>
            <w:r w:rsidRPr="005C26D0">
              <w:rPr>
                <w:sz w:val="18"/>
                <w:szCs w:val="18"/>
                <w:lang w:val="en-US"/>
              </w:rPr>
              <w:t>respectivă</w:t>
            </w:r>
            <w:proofErr w:type="spellEnd"/>
            <w:r w:rsidRPr="005C26D0">
              <w:rPr>
                <w:sz w:val="18"/>
                <w:szCs w:val="18"/>
                <w:lang w:val="en-US"/>
              </w:rPr>
              <w:t xml:space="preserve"> nu </w:t>
            </w:r>
            <w:proofErr w:type="spellStart"/>
            <w:r w:rsidRPr="005C26D0">
              <w:rPr>
                <w:sz w:val="18"/>
                <w:szCs w:val="18"/>
                <w:lang w:val="en-US"/>
              </w:rPr>
              <w:t>este</w:t>
            </w:r>
            <w:proofErr w:type="spellEnd"/>
            <w:r w:rsidRPr="005C26D0">
              <w:rPr>
                <w:sz w:val="18"/>
                <w:szCs w:val="18"/>
                <w:lang w:val="en-US"/>
              </w:rPr>
              <w:t xml:space="preserve"> </w:t>
            </w:r>
            <w:proofErr w:type="spellStart"/>
            <w:proofErr w:type="gramStart"/>
            <w:r w:rsidRPr="005C26D0">
              <w:rPr>
                <w:sz w:val="18"/>
                <w:szCs w:val="18"/>
                <w:lang w:val="en-US"/>
              </w:rPr>
              <w:t>îndeplinită</w:t>
            </w:r>
            <w:proofErr w:type="spellEnd"/>
            <w:r w:rsidRPr="005C26D0">
              <w:rPr>
                <w:sz w:val="18"/>
                <w:szCs w:val="18"/>
                <w:lang w:val="en-US"/>
              </w:rPr>
              <w:t>;</w:t>
            </w:r>
            <w:proofErr w:type="gramEnd"/>
          </w:p>
          <w:p w14:paraId="18BCC472" w14:textId="77777777" w:rsidR="002D6B17" w:rsidRPr="005C26D0" w:rsidRDefault="002D6B17" w:rsidP="002D6B17">
            <w:pPr>
              <w:rPr>
                <w:sz w:val="18"/>
                <w:szCs w:val="18"/>
                <w:lang w:val="en-US"/>
              </w:rPr>
            </w:pPr>
            <w:r w:rsidRPr="005C26D0">
              <w:rPr>
                <w:sz w:val="18"/>
                <w:szCs w:val="18"/>
                <w:lang w:val="en-US"/>
              </w:rPr>
              <w:t xml:space="preserve">8.7. </w:t>
            </w:r>
            <w:proofErr w:type="spellStart"/>
            <w:r w:rsidRPr="005C26D0">
              <w:rPr>
                <w:sz w:val="18"/>
                <w:szCs w:val="18"/>
                <w:lang w:val="en-US"/>
              </w:rPr>
              <w:t>verifică</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fiecare</w:t>
            </w:r>
            <w:proofErr w:type="spellEnd"/>
            <w:r w:rsidRPr="005C26D0">
              <w:rPr>
                <w:sz w:val="18"/>
                <w:szCs w:val="18"/>
                <w:lang w:val="en-US"/>
              </w:rPr>
              <w:t xml:space="preserve"> </w:t>
            </w:r>
            <w:proofErr w:type="spellStart"/>
            <w:r w:rsidRPr="005C26D0">
              <w:rPr>
                <w:sz w:val="18"/>
                <w:szCs w:val="18"/>
                <w:lang w:val="en-US"/>
              </w:rPr>
              <w:t>dintre</w:t>
            </w:r>
            <w:proofErr w:type="spellEnd"/>
            <w:r w:rsidRPr="005C26D0">
              <w:rPr>
                <w:sz w:val="18"/>
                <w:szCs w:val="18"/>
                <w:lang w:val="en-US"/>
              </w:rPr>
              <w:t xml:space="preserve"> </w:t>
            </w:r>
            <w:proofErr w:type="spellStart"/>
            <w:r w:rsidRPr="005C26D0">
              <w:rPr>
                <w:sz w:val="18"/>
                <w:szCs w:val="18"/>
                <w:lang w:val="en-US"/>
              </w:rPr>
              <w:t>categoriile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corespund</w:t>
            </w:r>
            <w:proofErr w:type="spellEnd"/>
            <w:r w:rsidRPr="005C26D0">
              <w:rPr>
                <w:sz w:val="18"/>
                <w:szCs w:val="18"/>
                <w:lang w:val="en-US"/>
              </w:rPr>
              <w:t xml:space="preserve"> </w:t>
            </w:r>
            <w:proofErr w:type="spellStart"/>
            <w:r w:rsidRPr="005C26D0">
              <w:rPr>
                <w:sz w:val="18"/>
                <w:szCs w:val="18"/>
                <w:lang w:val="en-US"/>
              </w:rPr>
              <w:t>determinanților</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nu sunt </w:t>
            </w:r>
            <w:proofErr w:type="spellStart"/>
            <w:r w:rsidRPr="005C26D0">
              <w:rPr>
                <w:sz w:val="18"/>
                <w:szCs w:val="18"/>
                <w:lang w:val="en-US"/>
              </w:rPr>
              <w:t>semnificativi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subpunctul</w:t>
            </w:r>
            <w:proofErr w:type="spellEnd"/>
            <w:r w:rsidRPr="005C26D0">
              <w:rPr>
                <w:sz w:val="18"/>
                <w:szCs w:val="18"/>
                <w:lang w:val="en-US"/>
              </w:rPr>
              <w:t xml:space="preserve"> 8.6.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dacă</w:t>
            </w:r>
            <w:proofErr w:type="spellEnd"/>
            <w:r w:rsidRPr="005C26D0">
              <w:rPr>
                <w:sz w:val="18"/>
                <w:szCs w:val="18"/>
                <w:lang w:val="en-US"/>
              </w:rPr>
              <w:t xml:space="preserve"> </w:t>
            </w:r>
            <w:proofErr w:type="spellStart"/>
            <w:r w:rsidRPr="005C26D0">
              <w:rPr>
                <w:sz w:val="18"/>
                <w:szCs w:val="18"/>
                <w:lang w:val="en-US"/>
              </w:rPr>
              <w:t>termenul</w:t>
            </w:r>
            <w:proofErr w:type="spellEnd"/>
            <w:r w:rsidRPr="005C26D0">
              <w:rPr>
                <w:sz w:val="18"/>
                <w:szCs w:val="18"/>
                <w:lang w:val="en-US"/>
              </w:rPr>
              <w:t> </w:t>
            </w:r>
            <w:r w:rsidRPr="005C26D0">
              <w:rPr>
                <w:i/>
                <w:iCs/>
                <w:sz w:val="18"/>
                <w:szCs w:val="18"/>
                <w:lang w:val="en-US"/>
              </w:rPr>
              <w:t>a</w:t>
            </w:r>
            <w:r w:rsidRPr="005C26D0">
              <w:rPr>
                <w:i/>
                <w:iCs/>
                <w:sz w:val="18"/>
                <w:szCs w:val="18"/>
                <w:vertAlign w:val="subscript"/>
                <w:lang w:val="en-US"/>
              </w:rPr>
              <w:t>i</w:t>
            </w:r>
            <w:r w:rsidRPr="005C26D0">
              <w:rPr>
                <w:i/>
                <w:iCs/>
                <w:sz w:val="18"/>
                <w:szCs w:val="18"/>
                <w:lang w:val="en-US"/>
              </w:rPr>
              <w:t> </w:t>
            </w:r>
            <w:proofErr w:type="spellStart"/>
            <w:r w:rsidRPr="005C26D0">
              <w:rPr>
                <w:sz w:val="18"/>
                <w:szCs w:val="18"/>
                <w:lang w:val="en-US"/>
              </w:rPr>
              <w:t>corespunzător</w:t>
            </w:r>
            <w:proofErr w:type="spellEnd"/>
            <w:r w:rsidRPr="005C26D0">
              <w:rPr>
                <w:sz w:val="18"/>
                <w:szCs w:val="18"/>
                <w:lang w:val="en-US"/>
              </w:rPr>
              <w:t xml:space="preserve"> </w:t>
            </w:r>
            <w:proofErr w:type="spellStart"/>
            <w:r w:rsidRPr="005C26D0">
              <w:rPr>
                <w:sz w:val="18"/>
                <w:szCs w:val="18"/>
                <w:lang w:val="en-US"/>
              </w:rPr>
              <w:t>îndeplinește</w:t>
            </w:r>
            <w:proofErr w:type="spellEnd"/>
            <w:r w:rsidRPr="005C26D0">
              <w:rPr>
                <w:sz w:val="18"/>
                <w:szCs w:val="18"/>
                <w:lang w:val="en-US"/>
              </w:rPr>
              <w:t xml:space="preserve"> </w:t>
            </w:r>
            <w:proofErr w:type="spellStart"/>
            <w:r w:rsidRPr="005C26D0">
              <w:rPr>
                <w:sz w:val="18"/>
                <w:szCs w:val="18"/>
                <w:lang w:val="en-US"/>
              </w:rPr>
              <w:t>următoarea</w:t>
            </w:r>
            <w:proofErr w:type="spellEnd"/>
            <w:r w:rsidRPr="005C26D0">
              <w:rPr>
                <w:sz w:val="18"/>
                <w:szCs w:val="18"/>
                <w:lang w:val="en-US"/>
              </w:rPr>
              <w:t xml:space="preserve"> </w:t>
            </w:r>
            <w:proofErr w:type="spellStart"/>
            <w:r w:rsidRPr="005C26D0">
              <w:rPr>
                <w:sz w:val="18"/>
                <w:szCs w:val="18"/>
                <w:lang w:val="en-US"/>
              </w:rPr>
              <w:t>condiție</w:t>
            </w:r>
            <w:proofErr w:type="spellEnd"/>
            <w:r w:rsidRPr="005C26D0">
              <w:rPr>
                <w:sz w:val="18"/>
                <w:szCs w:val="18"/>
                <w:lang w:val="en-US"/>
              </w:rPr>
              <w:t>:</w:t>
            </w:r>
          </w:p>
          <w:p w14:paraId="1CC8F8FF" w14:textId="77777777" w:rsidR="002D6B17" w:rsidRPr="005C26D0" w:rsidRDefault="002D6B17" w:rsidP="002D6B17">
            <w:pPr>
              <w:jc w:val="center"/>
              <w:rPr>
                <w:sz w:val="18"/>
                <w:szCs w:val="18"/>
              </w:rPr>
            </w:pPr>
            <w:r w:rsidRPr="005C26D0">
              <w:rPr>
                <w:noProof/>
                <w:sz w:val="18"/>
                <w:szCs w:val="18"/>
              </w:rPr>
              <w:lastRenderedPageBreak/>
              <w:drawing>
                <wp:inline distT="0" distB="0" distL="0" distR="0" wp14:anchorId="644D94F4" wp14:editId="0F5836F3">
                  <wp:extent cx="971550" cy="342900"/>
                  <wp:effectExtent l="0" t="0" r="0" b="0"/>
                  <wp:docPr id="48" name="Picture 48"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p w14:paraId="65050F39" w14:textId="77777777" w:rsidR="002D6B17" w:rsidRPr="005C26D0" w:rsidRDefault="002D6B17" w:rsidP="002D6B17">
            <w:pPr>
              <w:rPr>
                <w:sz w:val="18"/>
                <w:szCs w:val="18"/>
                <w:lang w:val="en-US"/>
              </w:rPr>
            </w:pPr>
            <w:proofErr w:type="spellStart"/>
            <w:r w:rsidRPr="005C26D0">
              <w:rPr>
                <w:sz w:val="18"/>
                <w:szCs w:val="18"/>
                <w:lang w:val="en-US"/>
              </w:rPr>
              <w:t>unde</w:t>
            </w:r>
            <w:proofErr w:type="spellEnd"/>
            <w:r w:rsidRPr="005C26D0">
              <w:rPr>
                <w:sz w:val="18"/>
                <w:szCs w:val="18"/>
                <w:lang w:val="en-US"/>
              </w:rPr>
              <w:t>:</w:t>
            </w:r>
          </w:p>
          <w:p w14:paraId="0E25ED94" w14:textId="77777777" w:rsidR="002D6B17" w:rsidRPr="005C26D0" w:rsidRDefault="002D6B17" w:rsidP="002D6B17">
            <w:pPr>
              <w:rPr>
                <w:sz w:val="18"/>
                <w:szCs w:val="18"/>
                <w:lang w:val="en-US"/>
              </w:rPr>
            </w:pPr>
            <w:r w:rsidRPr="005C26D0">
              <w:rPr>
                <w:i/>
                <w:iCs/>
                <w:sz w:val="18"/>
                <w:szCs w:val="18"/>
                <w:lang w:val="en-US"/>
              </w:rPr>
              <w:t>i =</w:t>
            </w:r>
            <w:r w:rsidRPr="005C26D0">
              <w:rPr>
                <w:sz w:val="18"/>
                <w:szCs w:val="18"/>
                <w:lang w:val="en-US"/>
              </w:rPr>
              <w:t> </w:t>
            </w:r>
            <w:proofErr w:type="spellStart"/>
            <w:r w:rsidRPr="005C26D0">
              <w:rPr>
                <w:sz w:val="18"/>
                <w:szCs w:val="18"/>
                <w:lang w:val="en-US"/>
              </w:rPr>
              <w:t>indicele</w:t>
            </w:r>
            <w:proofErr w:type="spellEnd"/>
            <w:r w:rsidRPr="005C26D0">
              <w:rPr>
                <w:sz w:val="18"/>
                <w:szCs w:val="18"/>
                <w:lang w:val="en-US"/>
              </w:rPr>
              <w:t xml:space="preserve"> care </w:t>
            </w:r>
            <w:proofErr w:type="spellStart"/>
            <w:r w:rsidRPr="005C26D0">
              <w:rPr>
                <w:sz w:val="18"/>
                <w:szCs w:val="18"/>
                <w:lang w:val="en-US"/>
              </w:rPr>
              <w:t>desemnează</w:t>
            </w:r>
            <w:proofErr w:type="spellEnd"/>
            <w:r w:rsidRPr="005C26D0">
              <w:rPr>
                <w:sz w:val="18"/>
                <w:szCs w:val="18"/>
                <w:lang w:val="en-US"/>
              </w:rPr>
              <w:t xml:space="preserve"> </w:t>
            </w:r>
            <w:proofErr w:type="spellStart"/>
            <w:r w:rsidRPr="005C26D0">
              <w:rPr>
                <w:sz w:val="18"/>
                <w:szCs w:val="18"/>
                <w:lang w:val="en-US"/>
              </w:rPr>
              <w:t>categoriile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punctul</w:t>
            </w:r>
            <w:proofErr w:type="spellEnd"/>
            <w:r w:rsidRPr="005C26D0">
              <w:rPr>
                <w:sz w:val="18"/>
                <w:szCs w:val="18"/>
                <w:lang w:val="en-US"/>
              </w:rPr>
              <w:t xml:space="preserve"> 55 din </w:t>
            </w: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 xml:space="preserve">, </w:t>
            </w:r>
            <w:proofErr w:type="spellStart"/>
            <w:r w:rsidRPr="005C26D0">
              <w:rPr>
                <w:sz w:val="18"/>
                <w:szCs w:val="18"/>
                <w:lang w:val="en-US"/>
              </w:rPr>
              <w:t>ierarhizate</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subpunctul</w:t>
            </w:r>
            <w:proofErr w:type="spellEnd"/>
            <w:r w:rsidRPr="005C26D0">
              <w:rPr>
                <w:sz w:val="18"/>
                <w:szCs w:val="18"/>
                <w:lang w:val="en-US"/>
              </w:rPr>
              <w:t xml:space="preserve"> 8.4.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ordinea</w:t>
            </w:r>
            <w:proofErr w:type="spellEnd"/>
            <w:r w:rsidRPr="005C26D0">
              <w:rPr>
                <w:sz w:val="18"/>
                <w:szCs w:val="18"/>
                <w:lang w:val="en-US"/>
              </w:rPr>
              <w:t xml:space="preserve"> care </w:t>
            </w:r>
            <w:proofErr w:type="spellStart"/>
            <w:r w:rsidRPr="005C26D0">
              <w:rPr>
                <w:sz w:val="18"/>
                <w:szCs w:val="18"/>
                <w:lang w:val="en-US"/>
              </w:rPr>
              <w:t>rezultă</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urma</w:t>
            </w:r>
            <w:proofErr w:type="spellEnd"/>
            <w:r w:rsidRPr="005C26D0">
              <w:rPr>
                <w:sz w:val="18"/>
                <w:szCs w:val="18"/>
                <w:lang w:val="en-US"/>
              </w:rPr>
              <w:t xml:space="preserve"> </w:t>
            </w:r>
            <w:proofErr w:type="spellStart"/>
            <w:r w:rsidRPr="005C26D0">
              <w:rPr>
                <w:sz w:val="18"/>
                <w:szCs w:val="18"/>
                <w:lang w:val="en-US"/>
              </w:rPr>
              <w:t>ierarhizării</w:t>
            </w:r>
            <w:proofErr w:type="spellEnd"/>
            <w:r w:rsidRPr="005C26D0">
              <w:rPr>
                <w:sz w:val="18"/>
                <w:szCs w:val="18"/>
                <w:lang w:val="en-US"/>
              </w:rPr>
              <w:t xml:space="preserve"> respective </w:t>
            </w:r>
            <w:proofErr w:type="spellStart"/>
            <w:r w:rsidRPr="005C26D0">
              <w:rPr>
                <w:sz w:val="18"/>
                <w:szCs w:val="18"/>
                <w:lang w:val="en-US"/>
              </w:rPr>
              <w:t>și</w:t>
            </w:r>
            <w:proofErr w:type="spellEnd"/>
            <w:r w:rsidRPr="005C26D0">
              <w:rPr>
                <w:sz w:val="18"/>
                <w:szCs w:val="18"/>
                <w:lang w:val="en-US"/>
              </w:rPr>
              <w:t xml:space="preserve"> care </w:t>
            </w:r>
            <w:proofErr w:type="spellStart"/>
            <w:r w:rsidRPr="005C26D0">
              <w:rPr>
                <w:sz w:val="18"/>
                <w:szCs w:val="18"/>
                <w:lang w:val="en-US"/>
              </w:rPr>
              <w:t>corespund</w:t>
            </w:r>
            <w:proofErr w:type="spellEnd"/>
            <w:r w:rsidRPr="005C26D0">
              <w:rPr>
                <w:sz w:val="18"/>
                <w:szCs w:val="18"/>
                <w:lang w:val="en-US"/>
              </w:rPr>
              <w:t xml:space="preserve"> </w:t>
            </w:r>
            <w:proofErr w:type="spellStart"/>
            <w:r w:rsidRPr="005C26D0">
              <w:rPr>
                <w:sz w:val="18"/>
                <w:szCs w:val="18"/>
                <w:lang w:val="en-US"/>
              </w:rPr>
              <w:t>determinanților</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nu sunt </w:t>
            </w:r>
            <w:proofErr w:type="spellStart"/>
            <w:r w:rsidRPr="005C26D0">
              <w:rPr>
                <w:sz w:val="18"/>
                <w:szCs w:val="18"/>
                <w:lang w:val="en-US"/>
              </w:rPr>
              <w:t>semnificativi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subpunctul</w:t>
            </w:r>
            <w:proofErr w:type="spellEnd"/>
            <w:r w:rsidRPr="005C26D0">
              <w:rPr>
                <w:sz w:val="18"/>
                <w:szCs w:val="18"/>
                <w:lang w:val="en-US"/>
              </w:rPr>
              <w:t xml:space="preserve"> 8.6. din </w:t>
            </w:r>
            <w:proofErr w:type="spellStart"/>
            <w:r w:rsidRPr="005C26D0">
              <w:rPr>
                <w:sz w:val="18"/>
                <w:szCs w:val="18"/>
                <w:lang w:val="en-US"/>
              </w:rPr>
              <w:t>prezenta</w:t>
            </w:r>
            <w:proofErr w:type="spellEnd"/>
            <w:r w:rsidRPr="005C26D0">
              <w:rPr>
                <w:sz w:val="18"/>
                <w:szCs w:val="18"/>
                <w:lang w:val="en-US"/>
              </w:rPr>
              <w:t xml:space="preserve"> </w:t>
            </w:r>
            <w:proofErr w:type="spellStart"/>
            <w:proofErr w:type="gramStart"/>
            <w:r w:rsidRPr="005C26D0">
              <w:rPr>
                <w:sz w:val="18"/>
                <w:szCs w:val="18"/>
                <w:lang w:val="en-US"/>
              </w:rPr>
              <w:t>anexă</w:t>
            </w:r>
            <w:proofErr w:type="spellEnd"/>
            <w:r w:rsidRPr="005C26D0">
              <w:rPr>
                <w:sz w:val="18"/>
                <w:szCs w:val="18"/>
                <w:lang w:val="en-US"/>
              </w:rPr>
              <w:t>;</w:t>
            </w:r>
            <w:proofErr w:type="gramEnd"/>
          </w:p>
          <w:p w14:paraId="60180182" w14:textId="77777777" w:rsidR="002D6B17" w:rsidRPr="005C26D0" w:rsidRDefault="002D6B17" w:rsidP="002D6B17">
            <w:pPr>
              <w:rPr>
                <w:sz w:val="18"/>
                <w:szCs w:val="18"/>
                <w:lang w:val="en-US"/>
              </w:rPr>
            </w:pPr>
            <w:r w:rsidRPr="005C26D0">
              <w:rPr>
                <w:i/>
                <w:iCs/>
                <w:sz w:val="18"/>
                <w:szCs w:val="18"/>
                <w:lang w:val="en-US"/>
              </w:rPr>
              <w:t>Z</w:t>
            </w:r>
            <w:r w:rsidRPr="005C26D0">
              <w:rPr>
                <w:sz w:val="18"/>
                <w:szCs w:val="18"/>
                <w:lang w:val="en-US"/>
              </w:rPr>
              <w:t xml:space="preserve"> % = </w:t>
            </w:r>
            <w:proofErr w:type="gramStart"/>
            <w:r w:rsidRPr="005C26D0">
              <w:rPr>
                <w:sz w:val="18"/>
                <w:szCs w:val="18"/>
                <w:lang w:val="en-US"/>
              </w:rPr>
              <w:t>30 %;</w:t>
            </w:r>
            <w:proofErr w:type="gramEnd"/>
          </w:p>
          <w:p w14:paraId="13FEC1A7" w14:textId="77777777" w:rsidR="002D6B17" w:rsidRPr="005C26D0" w:rsidRDefault="002D6B17" w:rsidP="002D6B17">
            <w:pPr>
              <w:rPr>
                <w:sz w:val="18"/>
                <w:szCs w:val="18"/>
                <w:lang w:val="en-US"/>
              </w:rPr>
            </w:pPr>
            <w:r w:rsidRPr="005C26D0">
              <w:rPr>
                <w:sz w:val="18"/>
                <w:szCs w:val="18"/>
                <w:lang w:val="en-US"/>
              </w:rPr>
              <w:t xml:space="preserve">8.8. </w:t>
            </w:r>
            <w:proofErr w:type="spellStart"/>
            <w:r w:rsidRPr="005C26D0">
              <w:rPr>
                <w:sz w:val="18"/>
                <w:szCs w:val="18"/>
                <w:lang w:val="en-US"/>
              </w:rPr>
              <w:t>în</w:t>
            </w:r>
            <w:proofErr w:type="spellEnd"/>
            <w:r w:rsidRPr="005C26D0">
              <w:rPr>
                <w:sz w:val="18"/>
                <w:szCs w:val="18"/>
                <w:lang w:val="en-US"/>
              </w:rPr>
              <w:t xml:space="preserve"> plus </w:t>
            </w:r>
            <w:proofErr w:type="spellStart"/>
            <w:r w:rsidRPr="005C26D0">
              <w:rPr>
                <w:sz w:val="18"/>
                <w:szCs w:val="18"/>
                <w:lang w:val="en-US"/>
              </w:rPr>
              <w:t>față</w:t>
            </w:r>
            <w:proofErr w:type="spellEnd"/>
            <w:r w:rsidRPr="005C26D0">
              <w:rPr>
                <w:sz w:val="18"/>
                <w:szCs w:val="18"/>
                <w:lang w:val="en-US"/>
              </w:rPr>
              <w:t xml:space="preserve"> de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semnificativi</w:t>
            </w:r>
            <w:proofErr w:type="spellEnd"/>
            <w:r w:rsidRPr="005C26D0">
              <w:rPr>
                <w:sz w:val="18"/>
                <w:szCs w:val="18"/>
                <w:lang w:val="en-US"/>
              </w:rPr>
              <w:t xml:space="preserve"> </w:t>
            </w:r>
            <w:proofErr w:type="spellStart"/>
            <w:r w:rsidRPr="005C26D0">
              <w:rPr>
                <w:sz w:val="18"/>
                <w:szCs w:val="18"/>
                <w:lang w:val="en-US"/>
              </w:rPr>
              <w:t>identificați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subpunctul</w:t>
            </w:r>
            <w:proofErr w:type="spellEnd"/>
            <w:r w:rsidRPr="005C26D0">
              <w:rPr>
                <w:sz w:val="18"/>
                <w:szCs w:val="18"/>
                <w:lang w:val="en-US"/>
              </w:rPr>
              <w:t xml:space="preserve"> 8.6.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consideră</w:t>
            </w:r>
            <w:proofErr w:type="spellEnd"/>
            <w:r w:rsidRPr="005C26D0">
              <w:rPr>
                <w:sz w:val="18"/>
                <w:szCs w:val="18"/>
                <w:lang w:val="en-US"/>
              </w:rPr>
              <w:t xml:space="preserve"> </w:t>
            </w:r>
            <w:proofErr w:type="spellStart"/>
            <w:r w:rsidRPr="005C26D0">
              <w:rPr>
                <w:sz w:val="18"/>
                <w:szCs w:val="18"/>
                <w:lang w:val="en-US"/>
              </w:rPr>
              <w:t>că</w:t>
            </w:r>
            <w:proofErr w:type="spellEnd"/>
            <w:r w:rsidRPr="005C26D0">
              <w:rPr>
                <w:sz w:val="18"/>
                <w:szCs w:val="18"/>
                <w:lang w:val="en-US"/>
              </w:rPr>
              <w:t xml:space="preserve"> sunt </w:t>
            </w:r>
            <w:proofErr w:type="spellStart"/>
            <w:r w:rsidRPr="005C26D0">
              <w:rPr>
                <w:sz w:val="18"/>
                <w:szCs w:val="18"/>
                <w:lang w:val="en-US"/>
              </w:rPr>
              <w:t>determinanți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semnificativi</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corespund</w:t>
            </w:r>
            <w:proofErr w:type="spellEnd"/>
            <w:r w:rsidRPr="005C26D0">
              <w:rPr>
                <w:sz w:val="18"/>
                <w:szCs w:val="18"/>
                <w:lang w:val="en-US"/>
              </w:rPr>
              <w:t xml:space="preserve"> </w:t>
            </w:r>
            <w:proofErr w:type="spellStart"/>
            <w:r w:rsidRPr="005C26D0">
              <w:rPr>
                <w:sz w:val="18"/>
                <w:szCs w:val="18"/>
                <w:lang w:val="en-US"/>
              </w:rPr>
              <w:t>categoriilor</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care </w:t>
            </w:r>
            <w:proofErr w:type="spellStart"/>
            <w:r w:rsidRPr="005C26D0">
              <w:rPr>
                <w:sz w:val="18"/>
                <w:szCs w:val="18"/>
                <w:lang w:val="en-US"/>
              </w:rPr>
              <w:t>este</w:t>
            </w:r>
            <w:proofErr w:type="spellEnd"/>
            <w:r w:rsidRPr="005C26D0">
              <w:rPr>
                <w:sz w:val="18"/>
                <w:szCs w:val="18"/>
                <w:lang w:val="en-US"/>
              </w:rPr>
              <w:t xml:space="preserve"> </w:t>
            </w:r>
            <w:proofErr w:type="spellStart"/>
            <w:r w:rsidRPr="005C26D0">
              <w:rPr>
                <w:sz w:val="18"/>
                <w:szCs w:val="18"/>
                <w:lang w:val="en-US"/>
              </w:rPr>
              <w:t>îndeplinită</w:t>
            </w:r>
            <w:proofErr w:type="spellEnd"/>
            <w:r w:rsidRPr="005C26D0">
              <w:rPr>
                <w:sz w:val="18"/>
                <w:szCs w:val="18"/>
                <w:lang w:val="en-US"/>
              </w:rPr>
              <w:t xml:space="preserve"> </w:t>
            </w:r>
            <w:proofErr w:type="spellStart"/>
            <w:r w:rsidRPr="005C26D0">
              <w:rPr>
                <w:sz w:val="18"/>
                <w:szCs w:val="18"/>
                <w:lang w:val="en-US"/>
              </w:rPr>
              <w:t>condiția</w:t>
            </w:r>
            <w:proofErr w:type="spellEnd"/>
            <w:r w:rsidRPr="005C26D0">
              <w:rPr>
                <w:sz w:val="18"/>
                <w:szCs w:val="18"/>
                <w:lang w:val="en-US"/>
              </w:rPr>
              <w:t xml:space="preserve"> </w:t>
            </w:r>
            <w:proofErr w:type="spellStart"/>
            <w:r w:rsidRPr="005C26D0">
              <w:rPr>
                <w:sz w:val="18"/>
                <w:szCs w:val="18"/>
                <w:lang w:val="en-US"/>
              </w:rPr>
              <w:t>prevăzută</w:t>
            </w:r>
            <w:proofErr w:type="spellEnd"/>
            <w:r w:rsidRPr="005C26D0">
              <w:rPr>
                <w:sz w:val="18"/>
                <w:szCs w:val="18"/>
                <w:lang w:val="en-US"/>
              </w:rPr>
              <w:t xml:space="preserve"> la </w:t>
            </w:r>
            <w:proofErr w:type="spellStart"/>
            <w:r w:rsidRPr="005C26D0">
              <w:rPr>
                <w:sz w:val="18"/>
                <w:szCs w:val="18"/>
                <w:lang w:val="en-US"/>
              </w:rPr>
              <w:t>subpunctul</w:t>
            </w:r>
            <w:proofErr w:type="spellEnd"/>
            <w:r w:rsidRPr="005C26D0">
              <w:rPr>
                <w:sz w:val="18"/>
                <w:szCs w:val="18"/>
                <w:lang w:val="en-US"/>
              </w:rPr>
              <w:t xml:space="preserve"> 8.7. din </w:t>
            </w:r>
            <w:proofErr w:type="spellStart"/>
            <w:r w:rsidRPr="005C26D0">
              <w:rPr>
                <w:sz w:val="18"/>
                <w:szCs w:val="18"/>
                <w:lang w:val="en-US"/>
              </w:rPr>
              <w:t>prezenta</w:t>
            </w:r>
            <w:proofErr w:type="spellEnd"/>
            <w:r w:rsidRPr="005C26D0">
              <w:rPr>
                <w:sz w:val="18"/>
                <w:szCs w:val="18"/>
                <w:lang w:val="en-US"/>
              </w:rPr>
              <w:t xml:space="preserve"> </w:t>
            </w:r>
            <w:proofErr w:type="spellStart"/>
            <w:proofErr w:type="gramStart"/>
            <w:r w:rsidRPr="005C26D0">
              <w:rPr>
                <w:sz w:val="18"/>
                <w:szCs w:val="18"/>
                <w:lang w:val="en-US"/>
              </w:rPr>
              <w:t>anexă</w:t>
            </w:r>
            <w:proofErr w:type="spellEnd"/>
            <w:r w:rsidRPr="005C26D0">
              <w:rPr>
                <w:sz w:val="18"/>
                <w:szCs w:val="18"/>
                <w:lang w:val="en-US"/>
              </w:rPr>
              <w:t>;</w:t>
            </w:r>
            <w:proofErr w:type="gramEnd"/>
          </w:p>
          <w:p w14:paraId="32378254" w14:textId="3E31CB64" w:rsidR="002D6B17" w:rsidRPr="005C26D0" w:rsidRDefault="002D6B17" w:rsidP="002D6B17">
            <w:pPr>
              <w:rPr>
                <w:sz w:val="18"/>
                <w:szCs w:val="18"/>
                <w:lang w:val="en-US"/>
              </w:rPr>
            </w:pPr>
            <w:r w:rsidRPr="005C26D0">
              <w:rPr>
                <w:sz w:val="18"/>
                <w:szCs w:val="18"/>
                <w:lang w:val="en-US"/>
              </w:rPr>
              <w:t xml:space="preserve">8.9.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fiecare</w:t>
            </w:r>
            <w:proofErr w:type="spellEnd"/>
            <w:r w:rsidRPr="005C26D0">
              <w:rPr>
                <w:sz w:val="18"/>
                <w:szCs w:val="18"/>
                <w:lang w:val="en-US"/>
              </w:rPr>
              <w:t xml:space="preserve"> </w:t>
            </w:r>
            <w:proofErr w:type="spellStart"/>
            <w:r w:rsidRPr="005C26D0">
              <w:rPr>
                <w:sz w:val="18"/>
                <w:szCs w:val="18"/>
                <w:lang w:val="en-US"/>
              </w:rPr>
              <w:t>dintre</w:t>
            </w:r>
            <w:proofErr w:type="spellEnd"/>
            <w:r w:rsidRPr="005C26D0">
              <w:rPr>
                <w:sz w:val="18"/>
                <w:szCs w:val="18"/>
                <w:lang w:val="en-US"/>
              </w:rPr>
              <w:t xml:space="preserve"> </w:t>
            </w:r>
            <w:proofErr w:type="spellStart"/>
            <w:r w:rsidRPr="005C26D0">
              <w:rPr>
                <w:sz w:val="18"/>
                <w:szCs w:val="18"/>
                <w:lang w:val="en-US"/>
              </w:rPr>
              <w:t>categoriile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subpunctele</w:t>
            </w:r>
            <w:proofErr w:type="spellEnd"/>
            <w:r w:rsidRPr="005C26D0">
              <w:rPr>
                <w:sz w:val="18"/>
                <w:szCs w:val="18"/>
                <w:lang w:val="en-US"/>
              </w:rPr>
              <w:t xml:space="preserve"> 8.6. – 8.8.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consideră</w:t>
            </w:r>
            <w:proofErr w:type="spellEnd"/>
            <w:r w:rsidRPr="005C26D0">
              <w:rPr>
                <w:sz w:val="18"/>
                <w:szCs w:val="18"/>
                <w:lang w:val="en-US"/>
              </w:rPr>
              <w:t xml:space="preserve"> </w:t>
            </w:r>
            <w:proofErr w:type="spellStart"/>
            <w:r w:rsidRPr="005C26D0">
              <w:rPr>
                <w:sz w:val="18"/>
                <w:szCs w:val="18"/>
                <w:lang w:val="en-US"/>
              </w:rPr>
              <w:t>că</w:t>
            </w:r>
            <w:proofErr w:type="spellEnd"/>
            <w:r w:rsidRPr="005C26D0">
              <w:rPr>
                <w:sz w:val="18"/>
                <w:szCs w:val="18"/>
                <w:lang w:val="en-US"/>
              </w:rPr>
              <w:t xml:space="preserve"> cel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categoria</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respectivă</w:t>
            </w:r>
            <w:proofErr w:type="spellEnd"/>
            <w:r w:rsidRPr="005C26D0">
              <w:rPr>
                <w:sz w:val="18"/>
                <w:szCs w:val="18"/>
                <w:lang w:val="en-US"/>
              </w:rPr>
              <w:t xml:space="preserve"> </w:t>
            </w:r>
            <w:proofErr w:type="spellStart"/>
            <w:r w:rsidRPr="005C26D0">
              <w:rPr>
                <w:sz w:val="18"/>
                <w:szCs w:val="18"/>
                <w:lang w:val="en-US"/>
              </w:rPr>
              <w:t>este</w:t>
            </w:r>
            <w:proofErr w:type="spellEnd"/>
            <w:r w:rsidRPr="005C26D0">
              <w:rPr>
                <w:sz w:val="18"/>
                <w:szCs w:val="18"/>
                <w:lang w:val="en-US"/>
              </w:rPr>
              <w:t xml:space="preserve"> </w:t>
            </w:r>
            <w:proofErr w:type="spellStart"/>
            <w:r w:rsidRPr="005C26D0">
              <w:rPr>
                <w:sz w:val="18"/>
                <w:szCs w:val="18"/>
                <w:lang w:val="en-US"/>
              </w:rPr>
              <w:t>determinantul</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corespunde</w:t>
            </w:r>
            <w:proofErr w:type="spellEnd"/>
            <w:r w:rsidRPr="005C26D0">
              <w:rPr>
                <w:sz w:val="18"/>
                <w:szCs w:val="18"/>
                <w:lang w:val="en-US"/>
              </w:rPr>
              <w:t xml:space="preserve"> </w:t>
            </w:r>
            <w:proofErr w:type="spellStart"/>
            <w:r w:rsidRPr="005C26D0">
              <w:rPr>
                <w:sz w:val="18"/>
                <w:szCs w:val="18"/>
                <w:lang w:val="en-US"/>
              </w:rPr>
              <w:t>celei</w:t>
            </w:r>
            <w:proofErr w:type="spellEnd"/>
            <w:r w:rsidRPr="005C26D0">
              <w:rPr>
                <w:sz w:val="18"/>
                <w:szCs w:val="18"/>
                <w:lang w:val="en-US"/>
              </w:rPr>
              <w:t xml:space="preserve">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mari</w:t>
            </w:r>
            <w:proofErr w:type="spellEnd"/>
            <w:r w:rsidRPr="005C26D0">
              <w:rPr>
                <w:sz w:val="18"/>
                <w:szCs w:val="18"/>
                <w:lang w:val="en-US"/>
              </w:rPr>
              <w:t xml:space="preserve"> </w:t>
            </w:r>
            <w:proofErr w:type="spellStart"/>
            <w:r w:rsidRPr="005C26D0">
              <w:rPr>
                <w:sz w:val="18"/>
                <w:szCs w:val="18"/>
                <w:lang w:val="en-US"/>
              </w:rPr>
              <w:t>valori</w:t>
            </w:r>
            <w:proofErr w:type="spellEnd"/>
            <w:r w:rsidRPr="005C26D0">
              <w:rPr>
                <w:sz w:val="18"/>
                <w:szCs w:val="18"/>
                <w:lang w:val="en-US"/>
              </w:rPr>
              <w:t xml:space="preserve"> absolute a </w:t>
            </w:r>
            <w:proofErr w:type="spellStart"/>
            <w:r w:rsidRPr="005C26D0">
              <w:rPr>
                <w:sz w:val="18"/>
                <w:szCs w:val="18"/>
                <w:lang w:val="en-US"/>
              </w:rPr>
              <w:t>sensibilităților</w:t>
            </w:r>
            <w:proofErr w:type="spellEnd"/>
            <w:r w:rsidRPr="005C26D0">
              <w:rPr>
                <w:sz w:val="18"/>
                <w:szCs w:val="18"/>
                <w:lang w:val="en-US"/>
              </w:rPr>
              <w:t xml:space="preserve"> </w:t>
            </w:r>
            <w:proofErr w:type="spellStart"/>
            <w:r w:rsidRPr="005C26D0">
              <w:rPr>
                <w:sz w:val="18"/>
                <w:szCs w:val="18"/>
                <w:lang w:val="en-US"/>
              </w:rPr>
              <w:t>ponderate</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subpunctul</w:t>
            </w:r>
            <w:proofErr w:type="spellEnd"/>
            <w:r w:rsidRPr="005C26D0">
              <w:rPr>
                <w:sz w:val="18"/>
                <w:szCs w:val="18"/>
                <w:lang w:val="en-US"/>
              </w:rPr>
              <w:t xml:space="preserve"> 8.2.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w:t>
            </w:r>
          </w:p>
          <w:p w14:paraId="168FA75C" w14:textId="77777777" w:rsidR="002D6B17" w:rsidRPr="005C26D0" w:rsidRDefault="002D6B17" w:rsidP="002D6B17">
            <w:pPr>
              <w:rPr>
                <w:sz w:val="18"/>
                <w:szCs w:val="18"/>
                <w:lang w:val="en-US"/>
              </w:rPr>
            </w:pPr>
            <w:r w:rsidRPr="005C26D0">
              <w:rPr>
                <w:b/>
                <w:bCs/>
                <w:sz w:val="18"/>
                <w:szCs w:val="18"/>
                <w:lang w:val="en-US"/>
              </w:rPr>
              <w:t>9.</w:t>
            </w:r>
            <w:r w:rsidRPr="005C26D0">
              <w:rPr>
                <w:sz w:val="18"/>
                <w:szCs w:val="18"/>
                <w:lang w:val="en-US"/>
              </w:rPr>
              <w:t>  </w:t>
            </w:r>
            <w:proofErr w:type="spellStart"/>
            <w:r w:rsidRPr="005C26D0">
              <w:rPr>
                <w:sz w:val="18"/>
                <w:szCs w:val="18"/>
                <w:lang w:val="en-US"/>
              </w:rPr>
              <w:t>Băncile</w:t>
            </w:r>
            <w:proofErr w:type="spellEnd"/>
            <w:r w:rsidRPr="005C26D0">
              <w:rPr>
                <w:sz w:val="18"/>
                <w:szCs w:val="18"/>
                <w:lang w:val="en-US"/>
              </w:rPr>
              <w:t xml:space="preserve"> care fie </w:t>
            </w:r>
            <w:proofErr w:type="spellStart"/>
            <w:r w:rsidRPr="005C26D0">
              <w:rPr>
                <w:sz w:val="18"/>
                <w:szCs w:val="18"/>
                <w:lang w:val="en-US"/>
              </w:rPr>
              <w:t>îndeplinesc</w:t>
            </w:r>
            <w:proofErr w:type="spellEnd"/>
            <w:r w:rsidRPr="005C26D0">
              <w:rPr>
                <w:sz w:val="18"/>
                <w:szCs w:val="18"/>
                <w:lang w:val="en-US"/>
              </w:rPr>
              <w:t xml:space="preserve"> </w:t>
            </w:r>
            <w:proofErr w:type="spellStart"/>
            <w:r w:rsidRPr="005C26D0">
              <w:rPr>
                <w:sz w:val="18"/>
                <w:szCs w:val="18"/>
                <w:lang w:val="en-US"/>
              </w:rPr>
              <w:t>condițiile</w:t>
            </w:r>
            <w:proofErr w:type="spellEnd"/>
            <w:r w:rsidRPr="005C26D0">
              <w:rPr>
                <w:sz w:val="18"/>
                <w:szCs w:val="18"/>
                <w:lang w:val="en-US"/>
              </w:rPr>
              <w:t xml:space="preserve"> </w:t>
            </w:r>
            <w:proofErr w:type="spellStart"/>
            <w:r w:rsidRPr="005C26D0">
              <w:rPr>
                <w:sz w:val="18"/>
                <w:szCs w:val="18"/>
                <w:lang w:val="en-US"/>
              </w:rPr>
              <w:t>prevăzute</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Regulamentul</w:t>
            </w:r>
            <w:proofErr w:type="spellEnd"/>
            <w:r w:rsidRPr="005C26D0">
              <w:rPr>
                <w:sz w:val="18"/>
                <w:szCs w:val="18"/>
                <w:lang w:val="en-US"/>
              </w:rPr>
              <w:t xml:space="preserve"> nr.109/2018, fie sunt </w:t>
            </w:r>
            <w:proofErr w:type="spellStart"/>
            <w:r w:rsidRPr="005C26D0">
              <w:rPr>
                <w:sz w:val="18"/>
                <w:szCs w:val="18"/>
                <w:lang w:val="en-US"/>
              </w:rPr>
              <w:t>scutite</w:t>
            </w:r>
            <w:proofErr w:type="spellEnd"/>
            <w:r w:rsidRPr="005C26D0">
              <w:rPr>
                <w:sz w:val="18"/>
                <w:szCs w:val="18"/>
                <w:lang w:val="en-US"/>
              </w:rPr>
              <w:t xml:space="preserve"> de </w:t>
            </w:r>
            <w:proofErr w:type="spellStart"/>
            <w:r w:rsidRPr="005C26D0">
              <w:rPr>
                <w:sz w:val="18"/>
                <w:szCs w:val="18"/>
                <w:lang w:val="en-US"/>
              </w:rPr>
              <w:t>cerința</w:t>
            </w:r>
            <w:proofErr w:type="spellEnd"/>
            <w:r w:rsidRPr="005C26D0">
              <w:rPr>
                <w:sz w:val="18"/>
                <w:szCs w:val="18"/>
                <w:lang w:val="en-US"/>
              </w:rPr>
              <w:t xml:space="preserve"> de </w:t>
            </w:r>
            <w:proofErr w:type="spellStart"/>
            <w:r w:rsidRPr="005C26D0">
              <w:rPr>
                <w:sz w:val="18"/>
                <w:szCs w:val="18"/>
                <w:lang w:val="en-US"/>
              </w:rPr>
              <w:t>raportare</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Regulamentul</w:t>
            </w:r>
            <w:proofErr w:type="spellEnd"/>
            <w:r w:rsidRPr="005C26D0">
              <w:rPr>
                <w:sz w:val="18"/>
                <w:szCs w:val="18"/>
                <w:lang w:val="en-US"/>
              </w:rPr>
              <w:t xml:space="preserve"> nr.114/2018 pot </w:t>
            </w:r>
            <w:proofErr w:type="spellStart"/>
            <w:r w:rsidRPr="005C26D0">
              <w:rPr>
                <w:sz w:val="18"/>
                <w:szCs w:val="18"/>
                <w:lang w:val="en-US"/>
              </w:rPr>
              <w:t>identifica</w:t>
            </w:r>
            <w:proofErr w:type="spellEnd"/>
            <w:r w:rsidRPr="005C26D0">
              <w:rPr>
                <w:sz w:val="18"/>
                <w:szCs w:val="18"/>
                <w:lang w:val="en-US"/>
              </w:rPr>
              <w:t xml:space="preserve"> cel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semnificativ</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prin</w:t>
            </w:r>
            <w:proofErr w:type="spellEnd"/>
            <w:r w:rsidRPr="005C26D0">
              <w:rPr>
                <w:sz w:val="18"/>
                <w:szCs w:val="18"/>
                <w:lang w:val="en-US"/>
              </w:rPr>
              <w:t xml:space="preserve"> </w:t>
            </w:r>
            <w:proofErr w:type="spellStart"/>
            <w:r w:rsidRPr="005C26D0">
              <w:rPr>
                <w:sz w:val="18"/>
                <w:szCs w:val="18"/>
                <w:lang w:val="en-US"/>
              </w:rPr>
              <w:t>aplicarea</w:t>
            </w:r>
            <w:proofErr w:type="spellEnd"/>
            <w:r w:rsidRPr="005C26D0">
              <w:rPr>
                <w:sz w:val="18"/>
                <w:szCs w:val="18"/>
                <w:lang w:val="en-US"/>
              </w:rPr>
              <w:t xml:space="preserve"> </w:t>
            </w:r>
            <w:proofErr w:type="spellStart"/>
            <w:r w:rsidRPr="005C26D0">
              <w:rPr>
                <w:sz w:val="18"/>
                <w:szCs w:val="18"/>
                <w:lang w:val="en-US"/>
              </w:rPr>
              <w:t>următoarelor</w:t>
            </w:r>
            <w:proofErr w:type="spellEnd"/>
            <w:r w:rsidRPr="005C26D0">
              <w:rPr>
                <w:sz w:val="18"/>
                <w:szCs w:val="18"/>
                <w:lang w:val="en-US"/>
              </w:rPr>
              <w:t xml:space="preserve"> </w:t>
            </w:r>
            <w:proofErr w:type="spellStart"/>
            <w:r w:rsidRPr="005C26D0">
              <w:rPr>
                <w:sz w:val="18"/>
                <w:szCs w:val="18"/>
                <w:lang w:val="en-US"/>
              </w:rPr>
              <w:t>etape</w:t>
            </w:r>
            <w:proofErr w:type="spellEnd"/>
            <w:r w:rsidRPr="005C26D0">
              <w:rPr>
                <w:sz w:val="18"/>
                <w:szCs w:val="18"/>
                <w:lang w:val="en-US"/>
              </w:rPr>
              <w:t xml:space="preserve"> la </w:t>
            </w:r>
            <w:proofErr w:type="spellStart"/>
            <w:r w:rsidRPr="005C26D0">
              <w:rPr>
                <w:sz w:val="18"/>
                <w:szCs w:val="18"/>
                <w:lang w:val="en-US"/>
              </w:rPr>
              <w:t>inițierea</w:t>
            </w:r>
            <w:proofErr w:type="spellEnd"/>
            <w:r w:rsidRPr="005C26D0">
              <w:rPr>
                <w:sz w:val="18"/>
                <w:szCs w:val="18"/>
                <w:lang w:val="en-US"/>
              </w:rPr>
              <w:t xml:space="preserve"> </w:t>
            </w:r>
            <w:proofErr w:type="spellStart"/>
            <w:r w:rsidRPr="005C26D0">
              <w:rPr>
                <w:sz w:val="18"/>
                <w:szCs w:val="18"/>
                <w:lang w:val="en-US"/>
              </w:rPr>
              <w:t>tranzacției</w:t>
            </w:r>
            <w:proofErr w:type="spellEnd"/>
            <w:r w:rsidRPr="005C26D0">
              <w:rPr>
                <w:sz w:val="18"/>
                <w:szCs w:val="18"/>
                <w:lang w:val="en-US"/>
              </w:rPr>
              <w:t xml:space="preserve"> </w:t>
            </w:r>
            <w:proofErr w:type="spellStart"/>
            <w:r w:rsidRPr="005C26D0">
              <w:rPr>
                <w:sz w:val="18"/>
                <w:szCs w:val="18"/>
                <w:lang w:val="en-US"/>
              </w:rPr>
              <w:t>și</w:t>
            </w:r>
            <w:proofErr w:type="spellEnd"/>
            <w:r w:rsidRPr="005C26D0">
              <w:rPr>
                <w:sz w:val="18"/>
                <w:szCs w:val="18"/>
                <w:lang w:val="en-US"/>
              </w:rPr>
              <w:t xml:space="preserve">, ulterior, cel </w:t>
            </w:r>
            <w:proofErr w:type="spellStart"/>
            <w:r w:rsidRPr="005C26D0">
              <w:rPr>
                <w:sz w:val="18"/>
                <w:szCs w:val="18"/>
                <w:lang w:val="en-US"/>
              </w:rPr>
              <w:t>puțin</w:t>
            </w:r>
            <w:proofErr w:type="spellEnd"/>
            <w:r w:rsidRPr="005C26D0">
              <w:rPr>
                <w:sz w:val="18"/>
                <w:szCs w:val="18"/>
                <w:lang w:val="en-US"/>
              </w:rPr>
              <w:t xml:space="preserve"> </w:t>
            </w:r>
            <w:proofErr w:type="spellStart"/>
            <w:r w:rsidRPr="005C26D0">
              <w:rPr>
                <w:sz w:val="18"/>
                <w:szCs w:val="18"/>
                <w:lang w:val="en-US"/>
              </w:rPr>
              <w:t>trimestrial</w:t>
            </w:r>
            <w:proofErr w:type="spellEnd"/>
            <w:r w:rsidRPr="005C26D0">
              <w:rPr>
                <w:sz w:val="18"/>
                <w:szCs w:val="18"/>
                <w:lang w:val="en-US"/>
              </w:rPr>
              <w:t>:</w:t>
            </w:r>
          </w:p>
          <w:p w14:paraId="20143BE8" w14:textId="77777777" w:rsidR="002D6B17" w:rsidRPr="005C26D0" w:rsidRDefault="002D6B17" w:rsidP="002D6B17">
            <w:pPr>
              <w:rPr>
                <w:sz w:val="18"/>
                <w:szCs w:val="18"/>
                <w:lang w:val="en-US"/>
              </w:rPr>
            </w:pPr>
            <w:r w:rsidRPr="005C26D0">
              <w:rPr>
                <w:sz w:val="18"/>
                <w:szCs w:val="18"/>
                <w:lang w:val="en-US"/>
              </w:rPr>
              <w:t xml:space="preserve">9.1. </w:t>
            </w:r>
            <w:proofErr w:type="spellStart"/>
            <w:r w:rsidRPr="005C26D0">
              <w:rPr>
                <w:sz w:val="18"/>
                <w:szCs w:val="18"/>
                <w:lang w:val="en-US"/>
              </w:rPr>
              <w:t>calculează</w:t>
            </w:r>
            <w:proofErr w:type="spellEnd"/>
            <w:r w:rsidRPr="005C26D0">
              <w:rPr>
                <w:sz w:val="18"/>
                <w:szCs w:val="18"/>
                <w:lang w:val="en-US"/>
              </w:rPr>
              <w:t xml:space="preserve"> </w:t>
            </w:r>
            <w:proofErr w:type="spellStart"/>
            <w:r w:rsidRPr="005C26D0">
              <w:rPr>
                <w:sz w:val="18"/>
                <w:szCs w:val="18"/>
                <w:lang w:val="en-US"/>
              </w:rPr>
              <w:t>majorările</w:t>
            </w:r>
            <w:proofErr w:type="spellEnd"/>
            <w:r w:rsidRPr="005C26D0">
              <w:rPr>
                <w:sz w:val="18"/>
                <w:szCs w:val="18"/>
                <w:lang w:val="en-US"/>
              </w:rPr>
              <w:t xml:space="preserve"> per </w:t>
            </w:r>
            <w:proofErr w:type="spellStart"/>
            <w:r w:rsidRPr="005C26D0">
              <w:rPr>
                <w:sz w:val="18"/>
                <w:szCs w:val="18"/>
                <w:lang w:val="en-US"/>
              </w:rPr>
              <w:t>categorie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menționate</w:t>
            </w:r>
            <w:proofErr w:type="spellEnd"/>
            <w:r w:rsidRPr="005C26D0">
              <w:rPr>
                <w:sz w:val="18"/>
                <w:szCs w:val="18"/>
                <w:lang w:val="en-US"/>
              </w:rPr>
              <w:t xml:space="preserve"> la </w:t>
            </w:r>
            <w:proofErr w:type="spellStart"/>
            <w:r w:rsidRPr="005C26D0">
              <w:rPr>
                <w:sz w:val="18"/>
                <w:szCs w:val="18"/>
                <w:lang w:val="en-US"/>
              </w:rPr>
              <w:t>punctele</w:t>
            </w:r>
            <w:proofErr w:type="spellEnd"/>
            <w:r w:rsidRPr="005C26D0">
              <w:rPr>
                <w:sz w:val="18"/>
                <w:szCs w:val="18"/>
                <w:lang w:val="en-US"/>
              </w:rPr>
              <w:t xml:space="preserve"> 78-98 din </w:t>
            </w: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 xml:space="preserve">, </w:t>
            </w:r>
            <w:proofErr w:type="spellStart"/>
            <w:r w:rsidRPr="005C26D0">
              <w:rPr>
                <w:sz w:val="18"/>
                <w:szCs w:val="18"/>
                <w:lang w:val="en-US"/>
              </w:rPr>
              <w:t>după</w:t>
            </w:r>
            <w:proofErr w:type="spellEnd"/>
            <w:r w:rsidRPr="005C26D0">
              <w:rPr>
                <w:sz w:val="18"/>
                <w:szCs w:val="18"/>
                <w:lang w:val="en-US"/>
              </w:rPr>
              <w:t xml:space="preserve"> </w:t>
            </w:r>
            <w:proofErr w:type="spellStart"/>
            <w:r w:rsidRPr="005C26D0">
              <w:rPr>
                <w:sz w:val="18"/>
                <w:szCs w:val="18"/>
                <w:lang w:val="en-US"/>
              </w:rPr>
              <w:t>caz</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fiecare</w:t>
            </w:r>
            <w:proofErr w:type="spellEnd"/>
            <w:r w:rsidRPr="005C26D0">
              <w:rPr>
                <w:sz w:val="18"/>
                <w:szCs w:val="18"/>
                <w:lang w:val="en-US"/>
              </w:rPr>
              <w:t xml:space="preserve"> determinant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identificat</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punctele</w:t>
            </w:r>
            <w:proofErr w:type="spellEnd"/>
            <w:r w:rsidRPr="005C26D0">
              <w:rPr>
                <w:sz w:val="18"/>
                <w:szCs w:val="18"/>
                <w:lang w:val="en-US"/>
              </w:rPr>
              <w:t xml:space="preserve"> 1 </w:t>
            </w:r>
            <w:proofErr w:type="spellStart"/>
            <w:r w:rsidRPr="005C26D0">
              <w:rPr>
                <w:sz w:val="18"/>
                <w:szCs w:val="18"/>
                <w:lang w:val="en-US"/>
              </w:rPr>
              <w:t>și</w:t>
            </w:r>
            <w:proofErr w:type="spellEnd"/>
            <w:r w:rsidRPr="005C26D0">
              <w:rPr>
                <w:sz w:val="18"/>
                <w:szCs w:val="18"/>
                <w:lang w:val="en-US"/>
              </w:rPr>
              <w:t xml:space="preserve"> 2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cazul</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care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mulți</w:t>
            </w:r>
            <w:proofErr w:type="spellEnd"/>
            <w:r w:rsidRPr="005C26D0">
              <w:rPr>
                <w:sz w:val="18"/>
                <w:szCs w:val="18"/>
                <w:lang w:val="en-US"/>
              </w:rPr>
              <w:t xml:space="preserve"> </w:t>
            </w:r>
            <w:proofErr w:type="spellStart"/>
            <w:r w:rsidRPr="005C26D0">
              <w:rPr>
                <w:sz w:val="18"/>
                <w:szCs w:val="18"/>
                <w:lang w:val="en-US"/>
              </w:rPr>
              <w:t>determinanți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identificați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punctele</w:t>
            </w:r>
            <w:proofErr w:type="spellEnd"/>
            <w:r w:rsidRPr="005C26D0">
              <w:rPr>
                <w:sz w:val="18"/>
                <w:szCs w:val="18"/>
                <w:lang w:val="en-US"/>
              </w:rPr>
              <w:t xml:space="preserve"> 1 </w:t>
            </w:r>
            <w:proofErr w:type="spellStart"/>
            <w:r w:rsidRPr="005C26D0">
              <w:rPr>
                <w:sz w:val="18"/>
                <w:szCs w:val="18"/>
                <w:lang w:val="en-US"/>
              </w:rPr>
              <w:t>și</w:t>
            </w:r>
            <w:proofErr w:type="spellEnd"/>
            <w:r w:rsidRPr="005C26D0">
              <w:rPr>
                <w:sz w:val="18"/>
                <w:szCs w:val="18"/>
                <w:lang w:val="en-US"/>
              </w:rPr>
              <w:t xml:space="preserve"> 2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au </w:t>
            </w:r>
            <w:proofErr w:type="spellStart"/>
            <w:r w:rsidRPr="005C26D0">
              <w:rPr>
                <w:sz w:val="18"/>
                <w:szCs w:val="18"/>
                <w:lang w:val="en-US"/>
              </w:rPr>
              <w:t>fost</w:t>
            </w:r>
            <w:proofErr w:type="spellEnd"/>
            <w:r w:rsidRPr="005C26D0">
              <w:rPr>
                <w:sz w:val="18"/>
                <w:szCs w:val="18"/>
                <w:lang w:val="en-US"/>
              </w:rPr>
              <w:t xml:space="preserve"> </w:t>
            </w:r>
            <w:proofErr w:type="spellStart"/>
            <w:r w:rsidRPr="005C26D0">
              <w:rPr>
                <w:sz w:val="18"/>
                <w:szCs w:val="18"/>
                <w:lang w:val="en-US"/>
              </w:rPr>
              <w:t>încadrați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aceeași</w:t>
            </w:r>
            <w:proofErr w:type="spellEnd"/>
            <w:r w:rsidRPr="005C26D0">
              <w:rPr>
                <w:sz w:val="18"/>
                <w:szCs w:val="18"/>
                <w:lang w:val="en-US"/>
              </w:rPr>
              <w:t xml:space="preserve"> </w:t>
            </w:r>
            <w:proofErr w:type="spellStart"/>
            <w:r w:rsidRPr="005C26D0">
              <w:rPr>
                <w:sz w:val="18"/>
                <w:szCs w:val="18"/>
                <w:lang w:val="en-US"/>
              </w:rPr>
              <w:lastRenderedPageBreak/>
              <w:t>categorie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băncile</w:t>
            </w:r>
            <w:proofErr w:type="spellEnd"/>
            <w:r w:rsidRPr="005C26D0">
              <w:rPr>
                <w:sz w:val="18"/>
                <w:szCs w:val="18"/>
                <w:lang w:val="en-US"/>
              </w:rPr>
              <w:t xml:space="preserve"> </w:t>
            </w:r>
            <w:proofErr w:type="spellStart"/>
            <w:r w:rsidRPr="005C26D0">
              <w:rPr>
                <w:sz w:val="18"/>
                <w:szCs w:val="18"/>
                <w:lang w:val="en-US"/>
              </w:rPr>
              <w:t>păstrează</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aplicarea</w:t>
            </w:r>
            <w:proofErr w:type="spellEnd"/>
            <w:r w:rsidRPr="005C26D0">
              <w:rPr>
                <w:sz w:val="18"/>
                <w:szCs w:val="18"/>
                <w:lang w:val="en-US"/>
              </w:rPr>
              <w:t xml:space="preserve"> </w:t>
            </w:r>
            <w:proofErr w:type="spellStart"/>
            <w:r w:rsidRPr="005C26D0">
              <w:rPr>
                <w:sz w:val="18"/>
                <w:szCs w:val="18"/>
                <w:lang w:val="en-US"/>
              </w:rPr>
              <w:t>subpunctului</w:t>
            </w:r>
            <w:proofErr w:type="spellEnd"/>
            <w:r w:rsidRPr="005C26D0">
              <w:rPr>
                <w:sz w:val="18"/>
                <w:szCs w:val="18"/>
                <w:lang w:val="en-US"/>
              </w:rPr>
              <w:t xml:space="preserve"> 9.2.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determinantul</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din </w:t>
            </w:r>
            <w:proofErr w:type="spellStart"/>
            <w:r w:rsidRPr="005C26D0">
              <w:rPr>
                <w:sz w:val="18"/>
                <w:szCs w:val="18"/>
                <w:lang w:val="en-US"/>
              </w:rPr>
              <w:t>categoria</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care </w:t>
            </w:r>
            <w:proofErr w:type="spellStart"/>
            <w:r w:rsidRPr="005C26D0">
              <w:rPr>
                <w:sz w:val="18"/>
                <w:szCs w:val="18"/>
                <w:lang w:val="en-US"/>
              </w:rPr>
              <w:t>corespunde</w:t>
            </w:r>
            <w:proofErr w:type="spellEnd"/>
            <w:r w:rsidRPr="005C26D0">
              <w:rPr>
                <w:sz w:val="18"/>
                <w:szCs w:val="18"/>
                <w:lang w:val="en-US"/>
              </w:rPr>
              <w:t xml:space="preserve"> </w:t>
            </w:r>
            <w:proofErr w:type="spellStart"/>
            <w:r w:rsidRPr="005C26D0">
              <w:rPr>
                <w:sz w:val="18"/>
                <w:szCs w:val="18"/>
                <w:lang w:val="en-US"/>
              </w:rPr>
              <w:t>celei</w:t>
            </w:r>
            <w:proofErr w:type="spellEnd"/>
            <w:r w:rsidRPr="005C26D0">
              <w:rPr>
                <w:sz w:val="18"/>
                <w:szCs w:val="18"/>
                <w:lang w:val="en-US"/>
              </w:rPr>
              <w:t xml:space="preserve">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mari</w:t>
            </w:r>
            <w:proofErr w:type="spellEnd"/>
            <w:r w:rsidRPr="005C26D0">
              <w:rPr>
                <w:sz w:val="18"/>
                <w:szCs w:val="18"/>
                <w:lang w:val="en-US"/>
              </w:rPr>
              <w:t xml:space="preserve"> </w:t>
            </w:r>
            <w:proofErr w:type="spellStart"/>
            <w:r w:rsidRPr="005C26D0">
              <w:rPr>
                <w:sz w:val="18"/>
                <w:szCs w:val="18"/>
                <w:lang w:val="en-US"/>
              </w:rPr>
              <w:t>majorări</w:t>
            </w:r>
            <w:proofErr w:type="spellEnd"/>
            <w:r w:rsidRPr="005C26D0">
              <w:rPr>
                <w:sz w:val="18"/>
                <w:szCs w:val="18"/>
                <w:lang w:val="en-US"/>
              </w:rPr>
              <w:t xml:space="preserve"> </w:t>
            </w:r>
            <w:proofErr w:type="spellStart"/>
            <w:r w:rsidRPr="005C26D0">
              <w:rPr>
                <w:sz w:val="18"/>
                <w:szCs w:val="18"/>
                <w:lang w:val="en-US"/>
              </w:rPr>
              <w:t>pentru</w:t>
            </w:r>
            <w:proofErr w:type="spellEnd"/>
            <w:r w:rsidRPr="005C26D0">
              <w:rPr>
                <w:sz w:val="18"/>
                <w:szCs w:val="18"/>
                <w:lang w:val="en-US"/>
              </w:rPr>
              <w:t xml:space="preserve"> </w:t>
            </w:r>
            <w:proofErr w:type="spellStart"/>
            <w:r w:rsidRPr="005C26D0">
              <w:rPr>
                <w:sz w:val="18"/>
                <w:szCs w:val="18"/>
                <w:lang w:val="en-US"/>
              </w:rPr>
              <w:t>categoria</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din </w:t>
            </w:r>
            <w:proofErr w:type="spellStart"/>
            <w:r w:rsidRPr="005C26D0">
              <w:rPr>
                <w:sz w:val="18"/>
                <w:szCs w:val="18"/>
                <w:lang w:val="en-US"/>
              </w:rPr>
              <w:t>categoria</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proofErr w:type="gramStart"/>
            <w:r w:rsidRPr="005C26D0">
              <w:rPr>
                <w:sz w:val="18"/>
                <w:szCs w:val="18"/>
                <w:lang w:val="en-US"/>
              </w:rPr>
              <w:t>respectivă</w:t>
            </w:r>
            <w:proofErr w:type="spellEnd"/>
            <w:r w:rsidRPr="005C26D0">
              <w:rPr>
                <w:sz w:val="18"/>
                <w:szCs w:val="18"/>
                <w:lang w:val="en-US"/>
              </w:rPr>
              <w:t>;</w:t>
            </w:r>
            <w:proofErr w:type="gramEnd"/>
          </w:p>
          <w:p w14:paraId="434AF1B2" w14:textId="77777777" w:rsidR="002D6B17" w:rsidRPr="005C26D0" w:rsidRDefault="002D6B17" w:rsidP="002D6B17">
            <w:pPr>
              <w:rPr>
                <w:sz w:val="18"/>
                <w:szCs w:val="18"/>
                <w:lang w:val="en-US"/>
              </w:rPr>
            </w:pPr>
            <w:r w:rsidRPr="005C26D0">
              <w:rPr>
                <w:sz w:val="18"/>
                <w:szCs w:val="18"/>
                <w:lang w:val="en-US"/>
              </w:rPr>
              <w:t xml:space="preserve">9.2. </w:t>
            </w:r>
            <w:proofErr w:type="spellStart"/>
            <w:r w:rsidRPr="005C26D0">
              <w:rPr>
                <w:sz w:val="18"/>
                <w:szCs w:val="18"/>
                <w:lang w:val="en-US"/>
              </w:rPr>
              <w:t>aplică</w:t>
            </w:r>
            <w:proofErr w:type="spellEnd"/>
            <w:r w:rsidRPr="005C26D0">
              <w:rPr>
                <w:sz w:val="18"/>
                <w:szCs w:val="18"/>
                <w:lang w:val="en-US"/>
              </w:rPr>
              <w:t xml:space="preserve"> </w:t>
            </w:r>
            <w:proofErr w:type="spellStart"/>
            <w:r w:rsidRPr="005C26D0">
              <w:rPr>
                <w:sz w:val="18"/>
                <w:szCs w:val="18"/>
                <w:lang w:val="en-US"/>
              </w:rPr>
              <w:t>etapele</w:t>
            </w:r>
            <w:proofErr w:type="spellEnd"/>
            <w:r w:rsidRPr="005C26D0">
              <w:rPr>
                <w:sz w:val="18"/>
                <w:szCs w:val="18"/>
                <w:lang w:val="en-US"/>
              </w:rPr>
              <w:t xml:space="preserve"> </w:t>
            </w:r>
            <w:proofErr w:type="spellStart"/>
            <w:r w:rsidRPr="005C26D0">
              <w:rPr>
                <w:sz w:val="18"/>
                <w:szCs w:val="18"/>
                <w:lang w:val="en-US"/>
              </w:rPr>
              <w:t>prevăzute</w:t>
            </w:r>
            <w:proofErr w:type="spellEnd"/>
            <w:r w:rsidRPr="005C26D0">
              <w:rPr>
                <w:sz w:val="18"/>
                <w:szCs w:val="18"/>
                <w:lang w:val="en-US"/>
              </w:rPr>
              <w:t xml:space="preserve"> la </w:t>
            </w:r>
            <w:proofErr w:type="spellStart"/>
            <w:r w:rsidRPr="005C26D0">
              <w:rPr>
                <w:sz w:val="18"/>
                <w:szCs w:val="18"/>
                <w:lang w:val="en-US"/>
              </w:rPr>
              <w:t>subpunctele</w:t>
            </w:r>
            <w:proofErr w:type="spellEnd"/>
            <w:r w:rsidRPr="005C26D0">
              <w:rPr>
                <w:sz w:val="18"/>
                <w:szCs w:val="18"/>
                <w:lang w:val="en-US"/>
              </w:rPr>
              <w:t xml:space="preserve"> 8.4.-8.8.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 xml:space="preserve">, </w:t>
            </w:r>
            <w:proofErr w:type="spellStart"/>
            <w:r w:rsidRPr="005C26D0">
              <w:rPr>
                <w:sz w:val="18"/>
                <w:szCs w:val="18"/>
                <w:lang w:val="en-US"/>
              </w:rPr>
              <w:t>termenii</w:t>
            </w:r>
            <w:proofErr w:type="spellEnd"/>
            <w:r w:rsidRPr="005C26D0">
              <w:rPr>
                <w:sz w:val="18"/>
                <w:szCs w:val="18"/>
                <w:lang w:val="en-US"/>
              </w:rPr>
              <w:t xml:space="preserve"> </w:t>
            </w:r>
            <w:proofErr w:type="spellStart"/>
            <w:r w:rsidRPr="005C26D0">
              <w:rPr>
                <w:sz w:val="18"/>
                <w:szCs w:val="18"/>
                <w:lang w:val="en-US"/>
              </w:rPr>
              <w:t>utilizați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etapele</w:t>
            </w:r>
            <w:proofErr w:type="spellEnd"/>
            <w:r w:rsidRPr="005C26D0">
              <w:rPr>
                <w:sz w:val="18"/>
                <w:szCs w:val="18"/>
                <w:lang w:val="en-US"/>
              </w:rPr>
              <w:t xml:space="preserve"> respective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bazați</w:t>
            </w:r>
            <w:proofErr w:type="spellEnd"/>
            <w:r w:rsidRPr="005C26D0">
              <w:rPr>
                <w:sz w:val="18"/>
                <w:szCs w:val="18"/>
                <w:lang w:val="en-US"/>
              </w:rPr>
              <w:t xml:space="preserve"> pe </w:t>
            </w:r>
            <w:proofErr w:type="spellStart"/>
            <w:r w:rsidRPr="005C26D0">
              <w:rPr>
                <w:sz w:val="18"/>
                <w:szCs w:val="18"/>
                <w:lang w:val="en-US"/>
              </w:rPr>
              <w:t>majorările</w:t>
            </w:r>
            <w:proofErr w:type="spellEnd"/>
            <w:r w:rsidRPr="005C26D0">
              <w:rPr>
                <w:sz w:val="18"/>
                <w:szCs w:val="18"/>
                <w:lang w:val="en-US"/>
              </w:rPr>
              <w:t xml:space="preserve"> per </w:t>
            </w:r>
            <w:proofErr w:type="spellStart"/>
            <w:r w:rsidRPr="005C26D0">
              <w:rPr>
                <w:sz w:val="18"/>
                <w:szCs w:val="18"/>
                <w:lang w:val="en-US"/>
              </w:rPr>
              <w:t>categorie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calculate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conformitate</w:t>
            </w:r>
            <w:proofErr w:type="spellEnd"/>
            <w:r w:rsidRPr="005C26D0">
              <w:rPr>
                <w:sz w:val="18"/>
                <w:szCs w:val="18"/>
                <w:lang w:val="en-US"/>
              </w:rPr>
              <w:t xml:space="preserve"> cu </w:t>
            </w:r>
            <w:proofErr w:type="spellStart"/>
            <w:r w:rsidRPr="005C26D0">
              <w:rPr>
                <w:sz w:val="18"/>
                <w:szCs w:val="18"/>
                <w:lang w:val="en-US"/>
              </w:rPr>
              <w:t>subpunctul</w:t>
            </w:r>
            <w:proofErr w:type="spellEnd"/>
            <w:r w:rsidRPr="005C26D0">
              <w:rPr>
                <w:sz w:val="18"/>
                <w:szCs w:val="18"/>
                <w:lang w:val="en-US"/>
              </w:rPr>
              <w:t xml:space="preserve"> 8.1. din </w:t>
            </w:r>
            <w:proofErr w:type="spellStart"/>
            <w:r w:rsidRPr="005C26D0">
              <w:rPr>
                <w:sz w:val="18"/>
                <w:szCs w:val="18"/>
                <w:lang w:val="en-US"/>
              </w:rPr>
              <w:t>prezenta</w:t>
            </w:r>
            <w:proofErr w:type="spellEnd"/>
            <w:r w:rsidRPr="005C26D0">
              <w:rPr>
                <w:sz w:val="18"/>
                <w:szCs w:val="18"/>
                <w:lang w:val="en-US"/>
              </w:rPr>
              <w:t xml:space="preserve"> </w:t>
            </w:r>
            <w:proofErr w:type="spellStart"/>
            <w:proofErr w:type="gramStart"/>
            <w:r w:rsidRPr="005C26D0">
              <w:rPr>
                <w:sz w:val="18"/>
                <w:szCs w:val="18"/>
                <w:lang w:val="en-US"/>
              </w:rPr>
              <w:t>anexă</w:t>
            </w:r>
            <w:proofErr w:type="spellEnd"/>
            <w:r w:rsidRPr="005C26D0">
              <w:rPr>
                <w:sz w:val="18"/>
                <w:szCs w:val="18"/>
                <w:lang w:val="en-US"/>
              </w:rPr>
              <w:t>;</w:t>
            </w:r>
            <w:proofErr w:type="gramEnd"/>
          </w:p>
          <w:p w14:paraId="2D271F45" w14:textId="77777777" w:rsidR="002D6B17" w:rsidRPr="005C26D0" w:rsidRDefault="002D6B17" w:rsidP="002D6B17">
            <w:pPr>
              <w:rPr>
                <w:sz w:val="18"/>
                <w:szCs w:val="18"/>
                <w:lang w:val="en-US"/>
              </w:rPr>
            </w:pPr>
            <w:r w:rsidRPr="005C26D0">
              <w:rPr>
                <w:sz w:val="18"/>
                <w:szCs w:val="18"/>
                <w:lang w:val="en-US"/>
              </w:rPr>
              <w:t xml:space="preserve">9.3. </w:t>
            </w:r>
            <w:proofErr w:type="spellStart"/>
            <w:r w:rsidRPr="005C26D0">
              <w:rPr>
                <w:sz w:val="18"/>
                <w:szCs w:val="18"/>
                <w:lang w:val="en-US"/>
              </w:rPr>
              <w:t>stabilesc</w:t>
            </w:r>
            <w:proofErr w:type="spellEnd"/>
            <w:r w:rsidRPr="005C26D0">
              <w:rPr>
                <w:sz w:val="18"/>
                <w:szCs w:val="18"/>
                <w:lang w:val="en-US"/>
              </w:rPr>
              <w:t xml:space="preserve">, ca </w:t>
            </w:r>
            <w:proofErr w:type="spellStart"/>
            <w:r w:rsidRPr="005C26D0">
              <w:rPr>
                <w:sz w:val="18"/>
                <w:szCs w:val="18"/>
                <w:lang w:val="en-US"/>
              </w:rPr>
              <w:t>fiind</w:t>
            </w:r>
            <w:proofErr w:type="spellEnd"/>
            <w:r w:rsidRPr="005C26D0">
              <w:rPr>
                <w:sz w:val="18"/>
                <w:szCs w:val="18"/>
                <w:lang w:val="en-US"/>
              </w:rPr>
              <w:t xml:space="preserve"> </w:t>
            </w:r>
            <w:proofErr w:type="spellStart"/>
            <w:r w:rsidRPr="005C26D0">
              <w:rPr>
                <w:sz w:val="18"/>
                <w:szCs w:val="18"/>
                <w:lang w:val="en-US"/>
              </w:rPr>
              <w:t>cei</w:t>
            </w:r>
            <w:proofErr w:type="spellEnd"/>
            <w:r w:rsidRPr="005C26D0">
              <w:rPr>
                <w:sz w:val="18"/>
                <w:szCs w:val="18"/>
                <w:lang w:val="en-US"/>
              </w:rPr>
              <w:t xml:space="preserve"> </w:t>
            </w:r>
            <w:proofErr w:type="spellStart"/>
            <w:r w:rsidRPr="005C26D0">
              <w:rPr>
                <w:sz w:val="18"/>
                <w:szCs w:val="18"/>
                <w:lang w:val="en-US"/>
              </w:rPr>
              <w:t>mai</w:t>
            </w:r>
            <w:proofErr w:type="spellEnd"/>
            <w:r w:rsidRPr="005C26D0">
              <w:rPr>
                <w:sz w:val="18"/>
                <w:szCs w:val="18"/>
                <w:lang w:val="en-US"/>
              </w:rPr>
              <w:t xml:space="preserve"> </w:t>
            </w:r>
            <w:proofErr w:type="spellStart"/>
            <w:r w:rsidRPr="005C26D0">
              <w:rPr>
                <w:sz w:val="18"/>
                <w:szCs w:val="18"/>
                <w:lang w:val="en-US"/>
              </w:rPr>
              <w:t>semnificativi</w:t>
            </w:r>
            <w:proofErr w:type="spellEnd"/>
            <w:r w:rsidRPr="005C26D0">
              <w:rPr>
                <w:sz w:val="18"/>
                <w:szCs w:val="18"/>
                <w:lang w:val="en-US"/>
              </w:rPr>
              <w:t xml:space="preserve"> </w:t>
            </w:r>
            <w:proofErr w:type="spellStart"/>
            <w:r w:rsidRPr="005C26D0">
              <w:rPr>
                <w:sz w:val="18"/>
                <w:szCs w:val="18"/>
                <w:lang w:val="en-US"/>
              </w:rPr>
              <w:t>determinanți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din </w:t>
            </w:r>
            <w:proofErr w:type="spellStart"/>
            <w:r w:rsidRPr="005C26D0">
              <w:rPr>
                <w:sz w:val="18"/>
                <w:szCs w:val="18"/>
                <w:lang w:val="en-US"/>
              </w:rPr>
              <w:t>categoriile</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relevante</w:t>
            </w:r>
            <w:proofErr w:type="spellEnd"/>
            <w:r w:rsidRPr="005C26D0">
              <w:rPr>
                <w:sz w:val="18"/>
                <w:szCs w:val="18"/>
                <w:lang w:val="en-US"/>
              </w:rPr>
              <w:t xml:space="preserve">, </w:t>
            </w:r>
            <w:proofErr w:type="spellStart"/>
            <w:r w:rsidRPr="005C26D0">
              <w:rPr>
                <w:sz w:val="18"/>
                <w:szCs w:val="18"/>
                <w:lang w:val="en-US"/>
              </w:rPr>
              <w:t>determinanții</w:t>
            </w:r>
            <w:proofErr w:type="spellEnd"/>
            <w:r w:rsidRPr="005C26D0">
              <w:rPr>
                <w:sz w:val="18"/>
                <w:szCs w:val="18"/>
                <w:lang w:val="en-US"/>
              </w:rPr>
              <w:t xml:space="preserve"> de </w:t>
            </w:r>
            <w:proofErr w:type="spellStart"/>
            <w:r w:rsidRPr="005C26D0">
              <w:rPr>
                <w:sz w:val="18"/>
                <w:szCs w:val="18"/>
                <w:lang w:val="en-US"/>
              </w:rPr>
              <w:t>risc</w:t>
            </w:r>
            <w:proofErr w:type="spellEnd"/>
            <w:r w:rsidRPr="005C26D0">
              <w:rPr>
                <w:sz w:val="18"/>
                <w:szCs w:val="18"/>
                <w:lang w:val="en-US"/>
              </w:rPr>
              <w:t xml:space="preserve"> </w:t>
            </w:r>
            <w:proofErr w:type="spellStart"/>
            <w:r w:rsidRPr="005C26D0">
              <w:rPr>
                <w:sz w:val="18"/>
                <w:szCs w:val="18"/>
                <w:lang w:val="en-US"/>
              </w:rPr>
              <w:t>semnificativi</w:t>
            </w:r>
            <w:proofErr w:type="spellEnd"/>
            <w:r w:rsidRPr="005C26D0">
              <w:rPr>
                <w:sz w:val="18"/>
                <w:szCs w:val="18"/>
                <w:lang w:val="en-US"/>
              </w:rPr>
              <w:t xml:space="preserve"> </w:t>
            </w:r>
            <w:proofErr w:type="spellStart"/>
            <w:r w:rsidRPr="005C26D0">
              <w:rPr>
                <w:sz w:val="18"/>
                <w:szCs w:val="18"/>
                <w:lang w:val="en-US"/>
              </w:rPr>
              <w:t>identificați</w:t>
            </w:r>
            <w:proofErr w:type="spellEnd"/>
            <w:r w:rsidRPr="005C26D0">
              <w:rPr>
                <w:sz w:val="18"/>
                <w:szCs w:val="18"/>
                <w:lang w:val="en-US"/>
              </w:rPr>
              <w:t xml:space="preserve"> </w:t>
            </w:r>
            <w:proofErr w:type="spellStart"/>
            <w:r w:rsidRPr="005C26D0">
              <w:rPr>
                <w:sz w:val="18"/>
                <w:szCs w:val="18"/>
                <w:lang w:val="en-US"/>
              </w:rPr>
              <w:t>prin</w:t>
            </w:r>
            <w:proofErr w:type="spellEnd"/>
            <w:r w:rsidRPr="005C26D0">
              <w:rPr>
                <w:sz w:val="18"/>
                <w:szCs w:val="18"/>
                <w:lang w:val="en-US"/>
              </w:rPr>
              <w:t xml:space="preserve"> </w:t>
            </w:r>
            <w:proofErr w:type="spellStart"/>
            <w:r w:rsidRPr="005C26D0">
              <w:rPr>
                <w:sz w:val="18"/>
                <w:szCs w:val="18"/>
                <w:lang w:val="en-US"/>
              </w:rPr>
              <w:t>metoda</w:t>
            </w:r>
            <w:proofErr w:type="spellEnd"/>
            <w:r w:rsidRPr="005C26D0">
              <w:rPr>
                <w:sz w:val="18"/>
                <w:szCs w:val="18"/>
                <w:lang w:val="en-US"/>
              </w:rPr>
              <w:t xml:space="preserve"> </w:t>
            </w:r>
            <w:proofErr w:type="spellStart"/>
            <w:r w:rsidRPr="005C26D0">
              <w:rPr>
                <w:sz w:val="18"/>
                <w:szCs w:val="18"/>
                <w:lang w:val="en-US"/>
              </w:rPr>
              <w:t>menționată</w:t>
            </w:r>
            <w:proofErr w:type="spellEnd"/>
            <w:r w:rsidRPr="005C26D0">
              <w:rPr>
                <w:sz w:val="18"/>
                <w:szCs w:val="18"/>
                <w:lang w:val="en-US"/>
              </w:rPr>
              <w:t xml:space="preserve"> la </w:t>
            </w:r>
            <w:proofErr w:type="spellStart"/>
            <w:r w:rsidRPr="005C26D0">
              <w:rPr>
                <w:sz w:val="18"/>
                <w:szCs w:val="18"/>
                <w:lang w:val="en-US"/>
              </w:rPr>
              <w:t>subpunctul</w:t>
            </w:r>
            <w:proofErr w:type="spellEnd"/>
            <w:r w:rsidRPr="005C26D0">
              <w:rPr>
                <w:sz w:val="18"/>
                <w:szCs w:val="18"/>
                <w:lang w:val="en-US"/>
              </w:rPr>
              <w:t xml:space="preserve"> 9.2. din </w:t>
            </w:r>
            <w:proofErr w:type="spellStart"/>
            <w:r w:rsidRPr="005C26D0">
              <w:rPr>
                <w:sz w:val="18"/>
                <w:szCs w:val="18"/>
                <w:lang w:val="en-US"/>
              </w:rPr>
              <w:t>prezenta</w:t>
            </w:r>
            <w:proofErr w:type="spellEnd"/>
            <w:r w:rsidRPr="005C26D0">
              <w:rPr>
                <w:sz w:val="18"/>
                <w:szCs w:val="18"/>
                <w:lang w:val="en-US"/>
              </w:rPr>
              <w:t xml:space="preserve"> </w:t>
            </w:r>
            <w:proofErr w:type="spellStart"/>
            <w:r w:rsidRPr="005C26D0">
              <w:rPr>
                <w:sz w:val="18"/>
                <w:szCs w:val="18"/>
                <w:lang w:val="en-US"/>
              </w:rPr>
              <w:t>anexă</w:t>
            </w:r>
            <w:proofErr w:type="spellEnd"/>
            <w:r w:rsidRPr="005C26D0">
              <w:rPr>
                <w:sz w:val="18"/>
                <w:szCs w:val="18"/>
                <w:lang w:val="en-US"/>
              </w:rPr>
              <w:t>.</w:t>
            </w:r>
          </w:p>
          <w:p w14:paraId="16920BAD" w14:textId="77777777" w:rsidR="002D6B17" w:rsidRPr="005C26D0" w:rsidRDefault="002D6B17" w:rsidP="002D6B17">
            <w:pPr>
              <w:pStyle w:val="PlainText"/>
              <w:rPr>
                <w:rFonts w:ascii="Times New Roman" w:hAnsi="Times New Roman" w:cs="Times New Roman"/>
                <w:b/>
                <w:bCs/>
                <w:sz w:val="18"/>
                <w:szCs w:val="18"/>
                <w:lang w:val="ro-MD"/>
              </w:rPr>
            </w:pPr>
          </w:p>
        </w:tc>
        <w:tc>
          <w:tcPr>
            <w:tcW w:w="1229" w:type="dxa"/>
          </w:tcPr>
          <w:p w14:paraId="7BD6A697" w14:textId="090F900E" w:rsidR="002D6B17" w:rsidRPr="005C26D0" w:rsidRDefault="002D6B17" w:rsidP="002D6B17">
            <w:pPr>
              <w:jc w:val="both"/>
              <w:rPr>
                <w:bCs/>
                <w:sz w:val="18"/>
                <w:szCs w:val="18"/>
                <w:lang w:val="ro-MD"/>
              </w:rPr>
            </w:pPr>
            <w:r w:rsidRPr="005C26D0">
              <w:rPr>
                <w:bCs/>
                <w:sz w:val="18"/>
                <w:szCs w:val="18"/>
                <w:lang w:val="ro-MD"/>
              </w:rPr>
              <w:lastRenderedPageBreak/>
              <w:t>Compatibil</w:t>
            </w:r>
          </w:p>
        </w:tc>
        <w:tc>
          <w:tcPr>
            <w:tcW w:w="5292" w:type="dxa"/>
            <w:tcBorders>
              <w:bottom w:val="single" w:sz="4" w:space="0" w:color="auto"/>
            </w:tcBorders>
          </w:tcPr>
          <w:p w14:paraId="74C1D847" w14:textId="77777777" w:rsidR="002D6B17" w:rsidRPr="005C26D0" w:rsidRDefault="002D6B17" w:rsidP="002D6B17">
            <w:pPr>
              <w:jc w:val="both"/>
              <w:rPr>
                <w:b/>
                <w:sz w:val="18"/>
                <w:szCs w:val="18"/>
                <w:lang w:val="ro-MD"/>
              </w:rPr>
            </w:pPr>
          </w:p>
        </w:tc>
      </w:tr>
      <w:tr w:rsidR="002D6B17" w:rsidRPr="005C26D0" w14:paraId="7A2E3582" w14:textId="77777777" w:rsidTr="003F5B3C">
        <w:trPr>
          <w:tblHeader/>
        </w:trPr>
        <w:tc>
          <w:tcPr>
            <w:tcW w:w="4253" w:type="dxa"/>
          </w:tcPr>
          <w:p w14:paraId="0A1C8E78" w14:textId="77777777" w:rsidR="002D6B17" w:rsidRPr="00753AFD" w:rsidRDefault="002D6B17" w:rsidP="002D6B17">
            <w:pPr>
              <w:pStyle w:val="title-division-1"/>
              <w:shd w:val="clear" w:color="auto" w:fill="FFFFFF"/>
              <w:rPr>
                <w:color w:val="000000"/>
                <w:sz w:val="18"/>
                <w:szCs w:val="18"/>
                <w:lang w:val="ro-MD" w:eastAsia="ro-MD"/>
              </w:rPr>
            </w:pPr>
            <w:r w:rsidRPr="00753AFD">
              <w:rPr>
                <w:color w:val="000000"/>
                <w:sz w:val="18"/>
                <w:szCs w:val="18"/>
              </w:rPr>
              <w:lastRenderedPageBreak/>
              <w:t>CAPITOLUL 2</w:t>
            </w:r>
          </w:p>
          <w:p w14:paraId="049234D0" w14:textId="77777777" w:rsidR="002D6B17" w:rsidRPr="00753AFD" w:rsidRDefault="002D6B17" w:rsidP="002D6B17">
            <w:pPr>
              <w:pStyle w:val="title-division-2"/>
              <w:shd w:val="clear" w:color="auto" w:fill="FFFFFF"/>
              <w:rPr>
                <w:color w:val="000000"/>
                <w:sz w:val="18"/>
                <w:szCs w:val="18"/>
              </w:rPr>
            </w:pPr>
            <w:r w:rsidRPr="00753AFD">
              <w:rPr>
                <w:rStyle w:val="boldface"/>
                <w:color w:val="000000"/>
                <w:sz w:val="18"/>
                <w:szCs w:val="18"/>
              </w:rPr>
              <w:t xml:space="preserve">Formula care </w:t>
            </w:r>
            <w:proofErr w:type="spellStart"/>
            <w:r w:rsidRPr="00753AFD">
              <w:rPr>
                <w:rStyle w:val="boldface"/>
                <w:color w:val="000000"/>
                <w:sz w:val="18"/>
                <w:szCs w:val="18"/>
              </w:rPr>
              <w:t>trebuie</w:t>
            </w:r>
            <w:proofErr w:type="spellEnd"/>
            <w:r w:rsidRPr="00753AFD">
              <w:rPr>
                <w:rStyle w:val="boldface"/>
                <w:color w:val="000000"/>
                <w:sz w:val="18"/>
                <w:szCs w:val="18"/>
              </w:rPr>
              <w:t xml:space="preserve"> </w:t>
            </w:r>
            <w:proofErr w:type="spellStart"/>
            <w:r w:rsidRPr="00753AFD">
              <w:rPr>
                <w:rStyle w:val="boldface"/>
                <w:color w:val="000000"/>
                <w:sz w:val="18"/>
                <w:szCs w:val="18"/>
              </w:rPr>
              <w:t>utilizată</w:t>
            </w:r>
            <w:proofErr w:type="spellEnd"/>
            <w:r w:rsidRPr="00753AFD">
              <w:rPr>
                <w:rStyle w:val="boldface"/>
                <w:color w:val="000000"/>
                <w:sz w:val="18"/>
                <w:szCs w:val="18"/>
              </w:rPr>
              <w:t xml:space="preserve"> </w:t>
            </w:r>
            <w:proofErr w:type="spellStart"/>
            <w:r w:rsidRPr="00753AFD">
              <w:rPr>
                <w:rStyle w:val="boldface"/>
                <w:color w:val="000000"/>
                <w:sz w:val="18"/>
                <w:szCs w:val="18"/>
              </w:rPr>
              <w:t>pentru</w:t>
            </w:r>
            <w:proofErr w:type="spellEnd"/>
            <w:r w:rsidRPr="00753AFD">
              <w:rPr>
                <w:rStyle w:val="boldface"/>
                <w:color w:val="000000"/>
                <w:sz w:val="18"/>
                <w:szCs w:val="18"/>
              </w:rPr>
              <w:t xml:space="preserve"> a </w:t>
            </w:r>
            <w:proofErr w:type="spellStart"/>
            <w:r w:rsidRPr="00753AFD">
              <w:rPr>
                <w:rStyle w:val="boldface"/>
                <w:color w:val="000000"/>
                <w:sz w:val="18"/>
                <w:szCs w:val="18"/>
              </w:rPr>
              <w:t>calcula</w:t>
            </w:r>
            <w:proofErr w:type="spellEnd"/>
            <w:r w:rsidRPr="00753AFD">
              <w:rPr>
                <w:rStyle w:val="boldface"/>
                <w:color w:val="000000"/>
                <w:sz w:val="18"/>
                <w:szCs w:val="18"/>
              </w:rPr>
              <w:t xml:space="preserve"> delta </w:t>
            </w:r>
            <w:proofErr w:type="spellStart"/>
            <w:r w:rsidRPr="00753AFD">
              <w:rPr>
                <w:rStyle w:val="boldface"/>
                <w:color w:val="000000"/>
                <w:sz w:val="18"/>
                <w:szCs w:val="18"/>
              </w:rPr>
              <w:t>reglementat</w:t>
            </w:r>
            <w:proofErr w:type="spellEnd"/>
            <w:r w:rsidRPr="00753AFD">
              <w:rPr>
                <w:rStyle w:val="boldface"/>
                <w:color w:val="000000"/>
                <w:sz w:val="18"/>
                <w:szCs w:val="18"/>
              </w:rPr>
              <w:t xml:space="preserve"> al </w:t>
            </w:r>
            <w:proofErr w:type="spellStart"/>
            <w:r w:rsidRPr="00753AFD">
              <w:rPr>
                <w:rStyle w:val="boldface"/>
                <w:color w:val="000000"/>
                <w:sz w:val="18"/>
                <w:szCs w:val="18"/>
              </w:rPr>
              <w:t>opțiunilor</w:t>
            </w:r>
            <w:proofErr w:type="spellEnd"/>
            <w:r w:rsidRPr="00753AFD">
              <w:rPr>
                <w:rStyle w:val="boldface"/>
                <w:color w:val="000000"/>
                <w:sz w:val="18"/>
                <w:szCs w:val="18"/>
              </w:rPr>
              <w:t xml:space="preserve"> call </w:t>
            </w:r>
            <w:proofErr w:type="spellStart"/>
            <w:r w:rsidRPr="00753AFD">
              <w:rPr>
                <w:rStyle w:val="boldface"/>
                <w:color w:val="000000"/>
                <w:sz w:val="18"/>
                <w:szCs w:val="18"/>
              </w:rPr>
              <w:t>și</w:t>
            </w:r>
            <w:proofErr w:type="spellEnd"/>
            <w:r w:rsidRPr="00753AFD">
              <w:rPr>
                <w:rStyle w:val="boldface"/>
                <w:color w:val="000000"/>
                <w:sz w:val="18"/>
                <w:szCs w:val="18"/>
              </w:rPr>
              <w:t xml:space="preserve"> put </w:t>
            </w:r>
            <w:proofErr w:type="spellStart"/>
            <w:r w:rsidRPr="00753AFD">
              <w:rPr>
                <w:rStyle w:val="boldface"/>
                <w:color w:val="000000"/>
                <w:sz w:val="18"/>
                <w:szCs w:val="18"/>
              </w:rPr>
              <w:t>încadrate</w:t>
            </w:r>
            <w:proofErr w:type="spellEnd"/>
            <w:r w:rsidRPr="00753AFD">
              <w:rPr>
                <w:rStyle w:val="boldface"/>
                <w:color w:val="000000"/>
                <w:sz w:val="18"/>
                <w:szCs w:val="18"/>
              </w:rPr>
              <w:t xml:space="preserve"> </w:t>
            </w:r>
            <w:proofErr w:type="spellStart"/>
            <w:r w:rsidRPr="00753AFD">
              <w:rPr>
                <w:rStyle w:val="boldface"/>
                <w:color w:val="000000"/>
                <w:sz w:val="18"/>
                <w:szCs w:val="18"/>
              </w:rPr>
              <w:t>în</w:t>
            </w:r>
            <w:proofErr w:type="spellEnd"/>
            <w:r w:rsidRPr="00753AFD">
              <w:rPr>
                <w:rStyle w:val="boldface"/>
                <w:color w:val="000000"/>
                <w:sz w:val="18"/>
                <w:szCs w:val="18"/>
              </w:rPr>
              <w:t xml:space="preserve"> </w:t>
            </w:r>
            <w:proofErr w:type="spellStart"/>
            <w:r w:rsidRPr="00753AFD">
              <w:rPr>
                <w:rStyle w:val="boldface"/>
                <w:color w:val="000000"/>
                <w:sz w:val="18"/>
                <w:szCs w:val="18"/>
              </w:rPr>
              <w:t>categoria</w:t>
            </w:r>
            <w:proofErr w:type="spellEnd"/>
            <w:r w:rsidRPr="00753AFD">
              <w:rPr>
                <w:rStyle w:val="boldface"/>
                <w:color w:val="000000"/>
                <w:sz w:val="18"/>
                <w:szCs w:val="18"/>
              </w:rPr>
              <w:t xml:space="preserve"> de </w:t>
            </w:r>
            <w:proofErr w:type="spellStart"/>
            <w:r w:rsidRPr="00753AFD">
              <w:rPr>
                <w:rStyle w:val="boldface"/>
                <w:color w:val="000000"/>
                <w:sz w:val="18"/>
                <w:szCs w:val="18"/>
              </w:rPr>
              <w:t>risc</w:t>
            </w:r>
            <w:proofErr w:type="spellEnd"/>
            <w:r w:rsidRPr="00753AFD">
              <w:rPr>
                <w:rStyle w:val="boldface"/>
                <w:color w:val="000000"/>
                <w:sz w:val="18"/>
                <w:szCs w:val="18"/>
              </w:rPr>
              <w:t xml:space="preserve"> de </w:t>
            </w:r>
            <w:proofErr w:type="spellStart"/>
            <w:r w:rsidRPr="00753AFD">
              <w:rPr>
                <w:rStyle w:val="boldface"/>
                <w:color w:val="000000"/>
                <w:sz w:val="18"/>
                <w:szCs w:val="18"/>
              </w:rPr>
              <w:t>rată</w:t>
            </w:r>
            <w:proofErr w:type="spellEnd"/>
            <w:r w:rsidRPr="00753AFD">
              <w:rPr>
                <w:rStyle w:val="boldface"/>
                <w:color w:val="000000"/>
                <w:sz w:val="18"/>
                <w:szCs w:val="18"/>
              </w:rPr>
              <w:t xml:space="preserve"> a </w:t>
            </w:r>
            <w:proofErr w:type="spellStart"/>
            <w:r w:rsidRPr="00753AFD">
              <w:rPr>
                <w:rStyle w:val="boldface"/>
                <w:color w:val="000000"/>
                <w:sz w:val="18"/>
                <w:szCs w:val="18"/>
              </w:rPr>
              <w:t>dobânzii</w:t>
            </w:r>
            <w:proofErr w:type="spellEnd"/>
            <w:r w:rsidRPr="00753AFD">
              <w:rPr>
                <w:rStyle w:val="boldface"/>
                <w:color w:val="000000"/>
                <w:sz w:val="18"/>
                <w:szCs w:val="18"/>
              </w:rPr>
              <w:t xml:space="preserve"> </w:t>
            </w:r>
            <w:proofErr w:type="spellStart"/>
            <w:r w:rsidRPr="00753AFD">
              <w:rPr>
                <w:rStyle w:val="boldface"/>
                <w:color w:val="000000"/>
                <w:sz w:val="18"/>
                <w:szCs w:val="18"/>
              </w:rPr>
              <w:t>și</w:t>
            </w:r>
            <w:proofErr w:type="spellEnd"/>
            <w:r w:rsidRPr="00753AFD">
              <w:rPr>
                <w:rStyle w:val="boldface"/>
                <w:color w:val="000000"/>
                <w:sz w:val="18"/>
                <w:szCs w:val="18"/>
              </w:rPr>
              <w:t xml:space="preserve"> </w:t>
            </w:r>
            <w:proofErr w:type="spellStart"/>
            <w:r w:rsidRPr="00753AFD">
              <w:rPr>
                <w:rStyle w:val="boldface"/>
                <w:color w:val="000000"/>
                <w:sz w:val="18"/>
                <w:szCs w:val="18"/>
              </w:rPr>
              <w:t>volatilitatea</w:t>
            </w:r>
            <w:proofErr w:type="spellEnd"/>
            <w:r w:rsidRPr="00753AFD">
              <w:rPr>
                <w:rStyle w:val="boldface"/>
                <w:color w:val="000000"/>
                <w:sz w:val="18"/>
                <w:szCs w:val="18"/>
              </w:rPr>
              <w:t xml:space="preserve"> </w:t>
            </w:r>
            <w:proofErr w:type="spellStart"/>
            <w:r w:rsidRPr="00753AFD">
              <w:rPr>
                <w:rStyle w:val="boldface"/>
                <w:color w:val="000000"/>
                <w:sz w:val="18"/>
                <w:szCs w:val="18"/>
              </w:rPr>
              <w:t>reglementată</w:t>
            </w:r>
            <w:proofErr w:type="spellEnd"/>
            <w:r w:rsidRPr="00753AFD">
              <w:rPr>
                <w:rStyle w:val="boldface"/>
                <w:color w:val="000000"/>
                <w:sz w:val="18"/>
                <w:szCs w:val="18"/>
              </w:rPr>
              <w:t xml:space="preserve"> </w:t>
            </w:r>
            <w:proofErr w:type="spellStart"/>
            <w:r w:rsidRPr="00753AFD">
              <w:rPr>
                <w:rStyle w:val="boldface"/>
                <w:color w:val="000000"/>
                <w:sz w:val="18"/>
                <w:szCs w:val="18"/>
              </w:rPr>
              <w:t>adecvată</w:t>
            </w:r>
            <w:proofErr w:type="spellEnd"/>
            <w:r w:rsidRPr="00753AFD">
              <w:rPr>
                <w:rStyle w:val="boldface"/>
                <w:color w:val="000000"/>
                <w:sz w:val="18"/>
                <w:szCs w:val="18"/>
              </w:rPr>
              <w:t xml:space="preserve"> </w:t>
            </w:r>
            <w:proofErr w:type="spellStart"/>
            <w:r w:rsidRPr="00753AFD">
              <w:rPr>
                <w:rStyle w:val="boldface"/>
                <w:color w:val="000000"/>
                <w:sz w:val="18"/>
                <w:szCs w:val="18"/>
              </w:rPr>
              <w:t>pentru</w:t>
            </w:r>
            <w:proofErr w:type="spellEnd"/>
            <w:r w:rsidRPr="00753AFD">
              <w:rPr>
                <w:rStyle w:val="boldface"/>
                <w:color w:val="000000"/>
                <w:sz w:val="18"/>
                <w:szCs w:val="18"/>
              </w:rPr>
              <w:t xml:space="preserve"> formula </w:t>
            </w:r>
            <w:proofErr w:type="spellStart"/>
            <w:r w:rsidRPr="00753AFD">
              <w:rPr>
                <w:rStyle w:val="boldface"/>
                <w:color w:val="000000"/>
                <w:sz w:val="18"/>
                <w:szCs w:val="18"/>
              </w:rPr>
              <w:t>respectivă</w:t>
            </w:r>
            <w:proofErr w:type="spellEnd"/>
            <w:r w:rsidRPr="00753AFD">
              <w:rPr>
                <w:rStyle w:val="boldface"/>
                <w:color w:val="000000"/>
                <w:sz w:val="18"/>
                <w:szCs w:val="18"/>
              </w:rPr>
              <w:t xml:space="preserve"> </w:t>
            </w:r>
            <w:proofErr w:type="spellStart"/>
            <w:r w:rsidRPr="00753AFD">
              <w:rPr>
                <w:rStyle w:val="boldface"/>
                <w:color w:val="000000"/>
                <w:sz w:val="18"/>
                <w:szCs w:val="18"/>
              </w:rPr>
              <w:t>și</w:t>
            </w:r>
            <w:proofErr w:type="spellEnd"/>
            <w:r w:rsidRPr="00753AFD">
              <w:rPr>
                <w:rStyle w:val="boldface"/>
                <w:color w:val="000000"/>
                <w:sz w:val="18"/>
                <w:szCs w:val="18"/>
              </w:rPr>
              <w:t xml:space="preserve"> </w:t>
            </w:r>
            <w:proofErr w:type="spellStart"/>
            <w:r w:rsidRPr="00753AFD">
              <w:rPr>
                <w:rStyle w:val="boldface"/>
                <w:color w:val="000000"/>
                <w:sz w:val="18"/>
                <w:szCs w:val="18"/>
              </w:rPr>
              <w:t>metoda</w:t>
            </w:r>
            <w:proofErr w:type="spellEnd"/>
            <w:r w:rsidRPr="00753AFD">
              <w:rPr>
                <w:rStyle w:val="boldface"/>
                <w:color w:val="000000"/>
                <w:sz w:val="18"/>
                <w:szCs w:val="18"/>
              </w:rPr>
              <w:t xml:space="preserve"> </w:t>
            </w:r>
            <w:proofErr w:type="spellStart"/>
            <w:r w:rsidRPr="00753AFD">
              <w:rPr>
                <w:rStyle w:val="boldface"/>
                <w:color w:val="000000"/>
                <w:sz w:val="18"/>
                <w:szCs w:val="18"/>
              </w:rPr>
              <w:t>pentru</w:t>
            </w:r>
            <w:proofErr w:type="spellEnd"/>
            <w:r w:rsidRPr="00753AFD">
              <w:rPr>
                <w:rStyle w:val="boldface"/>
                <w:color w:val="000000"/>
                <w:sz w:val="18"/>
                <w:szCs w:val="18"/>
              </w:rPr>
              <w:t xml:space="preserve"> a </w:t>
            </w:r>
            <w:proofErr w:type="spellStart"/>
            <w:r w:rsidRPr="00753AFD">
              <w:rPr>
                <w:rStyle w:val="boldface"/>
                <w:color w:val="000000"/>
                <w:sz w:val="18"/>
                <w:szCs w:val="18"/>
              </w:rPr>
              <w:t>determina</w:t>
            </w:r>
            <w:proofErr w:type="spellEnd"/>
            <w:r w:rsidRPr="00753AFD">
              <w:rPr>
                <w:rStyle w:val="boldface"/>
                <w:color w:val="000000"/>
                <w:sz w:val="18"/>
                <w:szCs w:val="18"/>
              </w:rPr>
              <w:t xml:space="preserve"> </w:t>
            </w:r>
            <w:proofErr w:type="spellStart"/>
            <w:r w:rsidRPr="00753AFD">
              <w:rPr>
                <w:rStyle w:val="boldface"/>
                <w:color w:val="000000"/>
                <w:sz w:val="18"/>
                <w:szCs w:val="18"/>
              </w:rPr>
              <w:t>dacă</w:t>
            </w:r>
            <w:proofErr w:type="spellEnd"/>
            <w:r w:rsidRPr="00753AFD">
              <w:rPr>
                <w:rStyle w:val="boldface"/>
                <w:color w:val="000000"/>
                <w:sz w:val="18"/>
                <w:szCs w:val="18"/>
              </w:rPr>
              <w:t xml:space="preserve"> o </w:t>
            </w:r>
            <w:proofErr w:type="spellStart"/>
            <w:r w:rsidRPr="00753AFD">
              <w:rPr>
                <w:rStyle w:val="boldface"/>
                <w:color w:val="000000"/>
                <w:sz w:val="18"/>
                <w:szCs w:val="18"/>
              </w:rPr>
              <w:t>tranzacție</w:t>
            </w:r>
            <w:proofErr w:type="spellEnd"/>
            <w:r w:rsidRPr="00753AFD">
              <w:rPr>
                <w:rStyle w:val="boldface"/>
                <w:color w:val="000000"/>
                <w:sz w:val="18"/>
                <w:szCs w:val="18"/>
              </w:rPr>
              <w:t xml:space="preserve"> </w:t>
            </w:r>
            <w:proofErr w:type="spellStart"/>
            <w:r w:rsidRPr="00753AFD">
              <w:rPr>
                <w:rStyle w:val="boldface"/>
                <w:color w:val="000000"/>
                <w:sz w:val="18"/>
                <w:szCs w:val="18"/>
              </w:rPr>
              <w:t>este</w:t>
            </w:r>
            <w:proofErr w:type="spellEnd"/>
            <w:r w:rsidRPr="00753AFD">
              <w:rPr>
                <w:rStyle w:val="boldface"/>
                <w:color w:val="000000"/>
                <w:sz w:val="18"/>
                <w:szCs w:val="18"/>
              </w:rPr>
              <w:t xml:space="preserve"> o </w:t>
            </w:r>
            <w:proofErr w:type="spellStart"/>
            <w:r w:rsidRPr="00753AFD">
              <w:rPr>
                <w:rStyle w:val="boldface"/>
                <w:color w:val="000000"/>
                <w:sz w:val="18"/>
                <w:szCs w:val="18"/>
              </w:rPr>
              <w:t>poziție</w:t>
            </w:r>
            <w:proofErr w:type="spellEnd"/>
            <w:r w:rsidRPr="00753AFD">
              <w:rPr>
                <w:rStyle w:val="boldface"/>
                <w:color w:val="000000"/>
                <w:sz w:val="18"/>
                <w:szCs w:val="18"/>
              </w:rPr>
              <w:t xml:space="preserve"> </w:t>
            </w:r>
            <w:proofErr w:type="spellStart"/>
            <w:r w:rsidRPr="00753AFD">
              <w:rPr>
                <w:rStyle w:val="boldface"/>
                <w:color w:val="000000"/>
                <w:sz w:val="18"/>
                <w:szCs w:val="18"/>
              </w:rPr>
              <w:t>lungă</w:t>
            </w:r>
            <w:proofErr w:type="spellEnd"/>
            <w:r w:rsidRPr="00753AFD">
              <w:rPr>
                <w:rStyle w:val="boldface"/>
                <w:color w:val="000000"/>
                <w:sz w:val="18"/>
                <w:szCs w:val="18"/>
              </w:rPr>
              <w:t xml:space="preserve"> </w:t>
            </w:r>
            <w:proofErr w:type="spellStart"/>
            <w:r w:rsidRPr="00753AFD">
              <w:rPr>
                <w:rStyle w:val="boldface"/>
                <w:color w:val="000000"/>
                <w:sz w:val="18"/>
                <w:szCs w:val="18"/>
              </w:rPr>
              <w:t>sau</w:t>
            </w:r>
            <w:proofErr w:type="spellEnd"/>
            <w:r w:rsidRPr="00753AFD">
              <w:rPr>
                <w:rStyle w:val="boldface"/>
                <w:color w:val="000000"/>
                <w:sz w:val="18"/>
                <w:szCs w:val="18"/>
              </w:rPr>
              <w:t xml:space="preserve"> </w:t>
            </w:r>
            <w:proofErr w:type="spellStart"/>
            <w:r w:rsidRPr="00753AFD">
              <w:rPr>
                <w:rStyle w:val="boldface"/>
                <w:color w:val="000000"/>
                <w:sz w:val="18"/>
                <w:szCs w:val="18"/>
              </w:rPr>
              <w:t>scurtă</w:t>
            </w:r>
            <w:proofErr w:type="spellEnd"/>
            <w:r w:rsidRPr="00753AFD">
              <w:rPr>
                <w:rStyle w:val="boldface"/>
                <w:color w:val="000000"/>
                <w:sz w:val="18"/>
                <w:szCs w:val="18"/>
              </w:rPr>
              <w:t xml:space="preserve"> pe </w:t>
            </w:r>
            <w:proofErr w:type="spellStart"/>
            <w:r w:rsidRPr="00753AFD">
              <w:rPr>
                <w:rStyle w:val="boldface"/>
                <w:color w:val="000000"/>
                <w:sz w:val="18"/>
                <w:szCs w:val="18"/>
              </w:rPr>
              <w:t>determinantul</w:t>
            </w:r>
            <w:proofErr w:type="spellEnd"/>
            <w:r w:rsidRPr="00753AFD">
              <w:rPr>
                <w:rStyle w:val="boldface"/>
                <w:color w:val="000000"/>
                <w:sz w:val="18"/>
                <w:szCs w:val="18"/>
              </w:rPr>
              <w:t xml:space="preserve"> de </w:t>
            </w:r>
            <w:proofErr w:type="spellStart"/>
            <w:r w:rsidRPr="00753AFD">
              <w:rPr>
                <w:rStyle w:val="boldface"/>
                <w:color w:val="000000"/>
                <w:sz w:val="18"/>
                <w:szCs w:val="18"/>
              </w:rPr>
              <w:t>risc</w:t>
            </w:r>
            <w:proofErr w:type="spellEnd"/>
            <w:r w:rsidRPr="00753AFD">
              <w:rPr>
                <w:rStyle w:val="boldface"/>
                <w:color w:val="000000"/>
                <w:sz w:val="18"/>
                <w:szCs w:val="18"/>
              </w:rPr>
              <w:t xml:space="preserve"> principal </w:t>
            </w:r>
            <w:proofErr w:type="spellStart"/>
            <w:r w:rsidRPr="00753AFD">
              <w:rPr>
                <w:rStyle w:val="boldface"/>
                <w:color w:val="000000"/>
                <w:sz w:val="18"/>
                <w:szCs w:val="18"/>
              </w:rPr>
              <w:t>sau</w:t>
            </w:r>
            <w:proofErr w:type="spellEnd"/>
            <w:r w:rsidRPr="00753AFD">
              <w:rPr>
                <w:rStyle w:val="boldface"/>
                <w:color w:val="000000"/>
                <w:sz w:val="18"/>
                <w:szCs w:val="18"/>
              </w:rPr>
              <w:t xml:space="preserve"> pe </w:t>
            </w:r>
            <w:proofErr w:type="spellStart"/>
            <w:r w:rsidRPr="00753AFD">
              <w:rPr>
                <w:rStyle w:val="boldface"/>
                <w:color w:val="000000"/>
                <w:sz w:val="18"/>
                <w:szCs w:val="18"/>
              </w:rPr>
              <w:t>determinantul</w:t>
            </w:r>
            <w:proofErr w:type="spellEnd"/>
            <w:r w:rsidRPr="00753AFD">
              <w:rPr>
                <w:rStyle w:val="boldface"/>
                <w:color w:val="000000"/>
                <w:sz w:val="18"/>
                <w:szCs w:val="18"/>
              </w:rPr>
              <w:t xml:space="preserve"> de </w:t>
            </w:r>
            <w:proofErr w:type="spellStart"/>
            <w:r w:rsidRPr="00753AFD">
              <w:rPr>
                <w:rStyle w:val="boldface"/>
                <w:color w:val="000000"/>
                <w:sz w:val="18"/>
                <w:szCs w:val="18"/>
              </w:rPr>
              <w:t>risc</w:t>
            </w:r>
            <w:proofErr w:type="spellEnd"/>
            <w:r w:rsidRPr="00753AFD">
              <w:rPr>
                <w:rStyle w:val="boldface"/>
                <w:color w:val="000000"/>
                <w:sz w:val="18"/>
                <w:szCs w:val="18"/>
              </w:rPr>
              <w:t xml:space="preserve"> cel </w:t>
            </w:r>
            <w:proofErr w:type="spellStart"/>
            <w:r w:rsidRPr="00753AFD">
              <w:rPr>
                <w:rStyle w:val="boldface"/>
                <w:color w:val="000000"/>
                <w:sz w:val="18"/>
                <w:szCs w:val="18"/>
              </w:rPr>
              <w:t>mai</w:t>
            </w:r>
            <w:proofErr w:type="spellEnd"/>
            <w:r w:rsidRPr="00753AFD">
              <w:rPr>
                <w:rStyle w:val="boldface"/>
                <w:color w:val="000000"/>
                <w:sz w:val="18"/>
                <w:szCs w:val="18"/>
              </w:rPr>
              <w:t xml:space="preserve"> </w:t>
            </w:r>
            <w:proofErr w:type="spellStart"/>
            <w:r w:rsidRPr="00753AFD">
              <w:rPr>
                <w:rStyle w:val="boldface"/>
                <w:color w:val="000000"/>
                <w:sz w:val="18"/>
                <w:szCs w:val="18"/>
              </w:rPr>
              <w:t>semnificativ</w:t>
            </w:r>
            <w:proofErr w:type="spellEnd"/>
            <w:r w:rsidRPr="00753AFD">
              <w:rPr>
                <w:rStyle w:val="boldface"/>
                <w:color w:val="000000"/>
                <w:sz w:val="18"/>
                <w:szCs w:val="18"/>
              </w:rPr>
              <w:t xml:space="preserve"> </w:t>
            </w:r>
            <w:proofErr w:type="spellStart"/>
            <w:r w:rsidRPr="00753AFD">
              <w:rPr>
                <w:rStyle w:val="boldface"/>
                <w:color w:val="000000"/>
                <w:sz w:val="18"/>
                <w:szCs w:val="18"/>
              </w:rPr>
              <w:t>dintr</w:t>
            </w:r>
            <w:proofErr w:type="spellEnd"/>
            <w:r w:rsidRPr="00753AFD">
              <w:rPr>
                <w:rStyle w:val="boldface"/>
                <w:color w:val="000000"/>
                <w:sz w:val="18"/>
                <w:szCs w:val="18"/>
              </w:rPr>
              <w:t xml:space="preserve">-o </w:t>
            </w:r>
            <w:proofErr w:type="spellStart"/>
            <w:r w:rsidRPr="00753AFD">
              <w:rPr>
                <w:rStyle w:val="boldface"/>
                <w:color w:val="000000"/>
                <w:sz w:val="18"/>
                <w:szCs w:val="18"/>
              </w:rPr>
              <w:t>anumită</w:t>
            </w:r>
            <w:proofErr w:type="spellEnd"/>
            <w:r w:rsidRPr="00753AFD">
              <w:rPr>
                <w:rStyle w:val="boldface"/>
                <w:color w:val="000000"/>
                <w:sz w:val="18"/>
                <w:szCs w:val="18"/>
              </w:rPr>
              <w:t xml:space="preserve"> </w:t>
            </w:r>
            <w:proofErr w:type="spellStart"/>
            <w:r w:rsidRPr="00753AFD">
              <w:rPr>
                <w:rStyle w:val="boldface"/>
                <w:color w:val="000000"/>
                <w:sz w:val="18"/>
                <w:szCs w:val="18"/>
              </w:rPr>
              <w:t>categorie</w:t>
            </w:r>
            <w:proofErr w:type="spellEnd"/>
            <w:r w:rsidRPr="00753AFD">
              <w:rPr>
                <w:rStyle w:val="boldface"/>
                <w:color w:val="000000"/>
                <w:sz w:val="18"/>
                <w:szCs w:val="18"/>
              </w:rPr>
              <w:t xml:space="preserve"> de </w:t>
            </w:r>
            <w:proofErr w:type="spellStart"/>
            <w:r w:rsidRPr="00753AFD">
              <w:rPr>
                <w:rStyle w:val="boldface"/>
                <w:color w:val="000000"/>
                <w:sz w:val="18"/>
                <w:szCs w:val="18"/>
              </w:rPr>
              <w:t>risc</w:t>
            </w:r>
            <w:proofErr w:type="spellEnd"/>
          </w:p>
          <w:p w14:paraId="52694FBB" w14:textId="1B5F7B7D" w:rsidR="002D6B17" w:rsidRPr="00753AFD" w:rsidRDefault="002D6B17" w:rsidP="002D6B17">
            <w:pPr>
              <w:pStyle w:val="title-article-norm"/>
              <w:shd w:val="clear" w:color="auto" w:fill="FFFFFF"/>
              <w:jc w:val="left"/>
              <w:rPr>
                <w:color w:val="000000"/>
                <w:sz w:val="18"/>
                <w:szCs w:val="18"/>
              </w:rPr>
            </w:pPr>
            <w:proofErr w:type="spellStart"/>
            <w:r w:rsidRPr="00753AFD">
              <w:rPr>
                <w:color w:val="000000"/>
                <w:sz w:val="18"/>
                <w:szCs w:val="18"/>
              </w:rPr>
              <w:t>Articolul</w:t>
            </w:r>
            <w:proofErr w:type="spellEnd"/>
            <w:r w:rsidRPr="00753AFD">
              <w:rPr>
                <w:color w:val="000000"/>
                <w:sz w:val="18"/>
                <w:szCs w:val="18"/>
              </w:rPr>
              <w:t> 5</w:t>
            </w:r>
            <w:r>
              <w:rPr>
                <w:color w:val="000000"/>
                <w:sz w:val="18"/>
                <w:szCs w:val="18"/>
              </w:rPr>
              <w:t xml:space="preserve"> </w:t>
            </w:r>
            <w:r w:rsidRPr="00753AFD">
              <w:rPr>
                <w:b/>
                <w:bCs/>
                <w:color w:val="000000"/>
                <w:sz w:val="18"/>
                <w:szCs w:val="18"/>
              </w:rPr>
              <w:t xml:space="preserve">Formula de </w:t>
            </w:r>
            <w:proofErr w:type="spellStart"/>
            <w:r w:rsidRPr="00753AFD">
              <w:rPr>
                <w:b/>
                <w:bCs/>
                <w:color w:val="000000"/>
                <w:sz w:val="18"/>
                <w:szCs w:val="18"/>
              </w:rPr>
              <w:t>utilizat</w:t>
            </w:r>
            <w:proofErr w:type="spellEnd"/>
            <w:r w:rsidRPr="00753AFD">
              <w:rPr>
                <w:b/>
                <w:bCs/>
                <w:color w:val="000000"/>
                <w:sz w:val="18"/>
                <w:szCs w:val="18"/>
              </w:rPr>
              <w:t xml:space="preserve"> </w:t>
            </w:r>
            <w:proofErr w:type="spellStart"/>
            <w:r w:rsidRPr="00753AFD">
              <w:rPr>
                <w:b/>
                <w:bCs/>
                <w:color w:val="000000"/>
                <w:sz w:val="18"/>
                <w:szCs w:val="18"/>
              </w:rPr>
              <w:t>pentru</w:t>
            </w:r>
            <w:proofErr w:type="spellEnd"/>
            <w:r w:rsidRPr="00753AFD">
              <w:rPr>
                <w:b/>
                <w:bCs/>
                <w:color w:val="000000"/>
                <w:sz w:val="18"/>
                <w:szCs w:val="18"/>
              </w:rPr>
              <w:t xml:space="preserve"> a </w:t>
            </w:r>
            <w:proofErr w:type="spellStart"/>
            <w:r w:rsidRPr="00753AFD">
              <w:rPr>
                <w:b/>
                <w:bCs/>
                <w:color w:val="000000"/>
                <w:sz w:val="18"/>
                <w:szCs w:val="18"/>
              </w:rPr>
              <w:t>calcula</w:t>
            </w:r>
            <w:proofErr w:type="spellEnd"/>
            <w:r w:rsidRPr="00753AFD">
              <w:rPr>
                <w:b/>
                <w:bCs/>
                <w:color w:val="000000"/>
                <w:sz w:val="18"/>
                <w:szCs w:val="18"/>
              </w:rPr>
              <w:t xml:space="preserve"> delta </w:t>
            </w:r>
            <w:proofErr w:type="spellStart"/>
            <w:r w:rsidRPr="00753AFD">
              <w:rPr>
                <w:b/>
                <w:bCs/>
                <w:color w:val="000000"/>
                <w:sz w:val="18"/>
                <w:szCs w:val="18"/>
              </w:rPr>
              <w:t>reglementat</w:t>
            </w:r>
            <w:proofErr w:type="spellEnd"/>
            <w:r w:rsidRPr="00753AFD">
              <w:rPr>
                <w:b/>
                <w:bCs/>
                <w:color w:val="000000"/>
                <w:sz w:val="18"/>
                <w:szCs w:val="18"/>
              </w:rPr>
              <w:t xml:space="preserve"> al </w:t>
            </w:r>
            <w:proofErr w:type="spellStart"/>
            <w:r w:rsidRPr="00753AFD">
              <w:rPr>
                <w:b/>
                <w:bCs/>
                <w:color w:val="000000"/>
                <w:sz w:val="18"/>
                <w:szCs w:val="18"/>
              </w:rPr>
              <w:t>opțiunilor</w:t>
            </w:r>
            <w:proofErr w:type="spellEnd"/>
            <w:r w:rsidRPr="00753AFD">
              <w:rPr>
                <w:b/>
                <w:bCs/>
                <w:color w:val="000000"/>
                <w:sz w:val="18"/>
                <w:szCs w:val="18"/>
              </w:rPr>
              <w:t xml:space="preserve"> call </w:t>
            </w:r>
            <w:proofErr w:type="spellStart"/>
            <w:r w:rsidRPr="00753AFD">
              <w:rPr>
                <w:b/>
                <w:bCs/>
                <w:color w:val="000000"/>
                <w:sz w:val="18"/>
                <w:szCs w:val="18"/>
              </w:rPr>
              <w:t>și</w:t>
            </w:r>
            <w:proofErr w:type="spellEnd"/>
            <w:r w:rsidRPr="00753AFD">
              <w:rPr>
                <w:b/>
                <w:bCs/>
                <w:color w:val="000000"/>
                <w:sz w:val="18"/>
                <w:szCs w:val="18"/>
              </w:rPr>
              <w:t xml:space="preserve"> put </w:t>
            </w:r>
            <w:proofErr w:type="spellStart"/>
            <w:r w:rsidRPr="00753AFD">
              <w:rPr>
                <w:b/>
                <w:bCs/>
                <w:color w:val="000000"/>
                <w:sz w:val="18"/>
                <w:szCs w:val="18"/>
              </w:rPr>
              <w:t>încadrate</w:t>
            </w:r>
            <w:proofErr w:type="spellEnd"/>
            <w:r w:rsidRPr="00753AFD">
              <w:rPr>
                <w:b/>
                <w:bCs/>
                <w:color w:val="000000"/>
                <w:sz w:val="18"/>
                <w:szCs w:val="18"/>
              </w:rPr>
              <w:t xml:space="preserve"> </w:t>
            </w:r>
            <w:proofErr w:type="spellStart"/>
            <w:r w:rsidRPr="00753AFD">
              <w:rPr>
                <w:b/>
                <w:bCs/>
                <w:color w:val="000000"/>
                <w:sz w:val="18"/>
                <w:szCs w:val="18"/>
              </w:rPr>
              <w:t>în</w:t>
            </w:r>
            <w:proofErr w:type="spellEnd"/>
            <w:r w:rsidRPr="00753AFD">
              <w:rPr>
                <w:b/>
                <w:bCs/>
                <w:color w:val="000000"/>
                <w:sz w:val="18"/>
                <w:szCs w:val="18"/>
              </w:rPr>
              <w:t xml:space="preserve"> </w:t>
            </w:r>
            <w:proofErr w:type="spellStart"/>
            <w:r w:rsidRPr="00753AFD">
              <w:rPr>
                <w:b/>
                <w:bCs/>
                <w:color w:val="000000"/>
                <w:sz w:val="18"/>
                <w:szCs w:val="18"/>
              </w:rPr>
              <w:t>categoria</w:t>
            </w:r>
            <w:proofErr w:type="spellEnd"/>
            <w:r w:rsidRPr="00753AFD">
              <w:rPr>
                <w:b/>
                <w:bCs/>
                <w:color w:val="000000"/>
                <w:sz w:val="18"/>
                <w:szCs w:val="18"/>
              </w:rPr>
              <w:t xml:space="preserve"> de </w:t>
            </w:r>
            <w:proofErr w:type="spellStart"/>
            <w:r w:rsidRPr="00753AFD">
              <w:rPr>
                <w:b/>
                <w:bCs/>
                <w:color w:val="000000"/>
                <w:sz w:val="18"/>
                <w:szCs w:val="18"/>
              </w:rPr>
              <w:t>risc</w:t>
            </w:r>
            <w:proofErr w:type="spellEnd"/>
            <w:r w:rsidRPr="00753AFD">
              <w:rPr>
                <w:b/>
                <w:bCs/>
                <w:color w:val="000000"/>
                <w:sz w:val="18"/>
                <w:szCs w:val="18"/>
              </w:rPr>
              <w:t xml:space="preserve"> de </w:t>
            </w:r>
            <w:proofErr w:type="spellStart"/>
            <w:r w:rsidRPr="00753AFD">
              <w:rPr>
                <w:b/>
                <w:bCs/>
                <w:color w:val="000000"/>
                <w:sz w:val="18"/>
                <w:szCs w:val="18"/>
              </w:rPr>
              <w:t>rată</w:t>
            </w:r>
            <w:proofErr w:type="spellEnd"/>
            <w:r w:rsidRPr="00753AFD">
              <w:rPr>
                <w:b/>
                <w:bCs/>
                <w:color w:val="000000"/>
                <w:sz w:val="18"/>
                <w:szCs w:val="18"/>
              </w:rPr>
              <w:t xml:space="preserve"> a </w:t>
            </w:r>
            <w:proofErr w:type="spellStart"/>
            <w:r w:rsidRPr="00753AFD">
              <w:rPr>
                <w:b/>
                <w:bCs/>
                <w:color w:val="000000"/>
                <w:sz w:val="18"/>
                <w:szCs w:val="18"/>
              </w:rPr>
              <w:t>dobânzii</w:t>
            </w:r>
            <w:proofErr w:type="spellEnd"/>
            <w:r w:rsidRPr="00753AFD">
              <w:rPr>
                <w:b/>
                <w:bCs/>
                <w:color w:val="000000"/>
                <w:sz w:val="18"/>
                <w:szCs w:val="18"/>
              </w:rPr>
              <w:t xml:space="preserve"> </w:t>
            </w:r>
            <w:proofErr w:type="spellStart"/>
            <w:r w:rsidRPr="00753AFD">
              <w:rPr>
                <w:b/>
                <w:bCs/>
                <w:color w:val="000000"/>
                <w:sz w:val="18"/>
                <w:szCs w:val="18"/>
              </w:rPr>
              <w:t>și</w:t>
            </w:r>
            <w:proofErr w:type="spellEnd"/>
            <w:r w:rsidRPr="00753AFD">
              <w:rPr>
                <w:b/>
                <w:bCs/>
                <w:color w:val="000000"/>
                <w:sz w:val="18"/>
                <w:szCs w:val="18"/>
              </w:rPr>
              <w:t xml:space="preserve"> </w:t>
            </w:r>
            <w:proofErr w:type="spellStart"/>
            <w:r w:rsidRPr="00753AFD">
              <w:rPr>
                <w:b/>
                <w:bCs/>
                <w:color w:val="000000"/>
                <w:sz w:val="18"/>
                <w:szCs w:val="18"/>
              </w:rPr>
              <w:t>volatilitatea</w:t>
            </w:r>
            <w:proofErr w:type="spellEnd"/>
            <w:r w:rsidRPr="00753AFD">
              <w:rPr>
                <w:b/>
                <w:bCs/>
                <w:color w:val="000000"/>
                <w:sz w:val="18"/>
                <w:szCs w:val="18"/>
              </w:rPr>
              <w:t xml:space="preserve"> </w:t>
            </w:r>
            <w:proofErr w:type="spellStart"/>
            <w:r w:rsidRPr="00753AFD">
              <w:rPr>
                <w:b/>
                <w:bCs/>
                <w:color w:val="000000"/>
                <w:sz w:val="18"/>
                <w:szCs w:val="18"/>
              </w:rPr>
              <w:t>reglementată</w:t>
            </w:r>
            <w:proofErr w:type="spellEnd"/>
            <w:r w:rsidRPr="00753AFD">
              <w:rPr>
                <w:b/>
                <w:bCs/>
                <w:color w:val="000000"/>
                <w:sz w:val="18"/>
                <w:szCs w:val="18"/>
              </w:rPr>
              <w:t xml:space="preserve"> </w:t>
            </w:r>
            <w:proofErr w:type="spellStart"/>
            <w:r w:rsidRPr="00753AFD">
              <w:rPr>
                <w:b/>
                <w:bCs/>
                <w:color w:val="000000"/>
                <w:sz w:val="18"/>
                <w:szCs w:val="18"/>
              </w:rPr>
              <w:t>adecvată</w:t>
            </w:r>
            <w:proofErr w:type="spellEnd"/>
            <w:r w:rsidRPr="00753AFD">
              <w:rPr>
                <w:b/>
                <w:bCs/>
                <w:color w:val="000000"/>
                <w:sz w:val="18"/>
                <w:szCs w:val="18"/>
              </w:rPr>
              <w:t xml:space="preserve"> </w:t>
            </w:r>
            <w:proofErr w:type="spellStart"/>
            <w:r w:rsidRPr="00753AFD">
              <w:rPr>
                <w:b/>
                <w:bCs/>
                <w:color w:val="000000"/>
                <w:sz w:val="18"/>
                <w:szCs w:val="18"/>
              </w:rPr>
              <w:t>pentru</w:t>
            </w:r>
            <w:proofErr w:type="spellEnd"/>
            <w:r w:rsidRPr="00753AFD">
              <w:rPr>
                <w:b/>
                <w:bCs/>
                <w:color w:val="000000"/>
                <w:sz w:val="18"/>
                <w:szCs w:val="18"/>
              </w:rPr>
              <w:t xml:space="preserve"> </w:t>
            </w:r>
            <w:proofErr w:type="spellStart"/>
            <w:r w:rsidRPr="00753AFD">
              <w:rPr>
                <w:b/>
                <w:bCs/>
                <w:color w:val="000000"/>
                <w:sz w:val="18"/>
                <w:szCs w:val="18"/>
              </w:rPr>
              <w:t>această</w:t>
            </w:r>
            <w:proofErr w:type="spellEnd"/>
            <w:r w:rsidRPr="00753AFD">
              <w:rPr>
                <w:b/>
                <w:bCs/>
                <w:color w:val="000000"/>
                <w:sz w:val="18"/>
                <w:szCs w:val="18"/>
              </w:rPr>
              <w:t xml:space="preserve"> </w:t>
            </w:r>
            <w:proofErr w:type="spellStart"/>
            <w:r w:rsidRPr="00753AFD">
              <w:rPr>
                <w:b/>
                <w:bCs/>
                <w:color w:val="000000"/>
                <w:sz w:val="18"/>
                <w:szCs w:val="18"/>
              </w:rPr>
              <w:t>formulă</w:t>
            </w:r>
            <w:proofErr w:type="spellEnd"/>
          </w:p>
          <w:p w14:paraId="290C67F9" w14:textId="25A952E6" w:rsidR="002D6B17" w:rsidRPr="00753AFD" w:rsidRDefault="002D6B17" w:rsidP="002D6B17">
            <w:pPr>
              <w:shd w:val="clear" w:color="auto" w:fill="FFFFFF"/>
              <w:rPr>
                <w:color w:val="000000"/>
                <w:sz w:val="18"/>
                <w:szCs w:val="18"/>
                <w:lang w:val="en-US"/>
              </w:rPr>
            </w:pPr>
            <w:r w:rsidRPr="00753AFD">
              <w:rPr>
                <w:rStyle w:val="no-parag"/>
                <w:color w:val="000000"/>
                <w:sz w:val="18"/>
                <w:szCs w:val="18"/>
                <w:lang w:val="en-US"/>
              </w:rPr>
              <w:t>(1) </w:t>
            </w:r>
            <w:proofErr w:type="spellStart"/>
            <w:r w:rsidRPr="00753AFD">
              <w:rPr>
                <w:color w:val="000000"/>
                <w:sz w:val="18"/>
                <w:szCs w:val="18"/>
                <w:lang w:val="en-US"/>
              </w:rPr>
              <w:t>Instituțiile</w:t>
            </w:r>
            <w:proofErr w:type="spellEnd"/>
            <w:r w:rsidRPr="00753AFD">
              <w:rPr>
                <w:color w:val="000000"/>
                <w:sz w:val="18"/>
                <w:szCs w:val="18"/>
                <w:lang w:val="en-US"/>
              </w:rPr>
              <w:t xml:space="preserve"> </w:t>
            </w:r>
            <w:proofErr w:type="spellStart"/>
            <w:r w:rsidRPr="00753AFD">
              <w:rPr>
                <w:color w:val="000000"/>
                <w:sz w:val="18"/>
                <w:szCs w:val="18"/>
                <w:lang w:val="en-US"/>
              </w:rPr>
              <w:t>calculează</w:t>
            </w:r>
            <w:proofErr w:type="spellEnd"/>
            <w:r w:rsidRPr="00753AFD">
              <w:rPr>
                <w:color w:val="000000"/>
                <w:sz w:val="18"/>
                <w:szCs w:val="18"/>
                <w:lang w:val="en-US"/>
              </w:rPr>
              <w:t xml:space="preserve"> delta </w:t>
            </w:r>
            <w:proofErr w:type="spellStart"/>
            <w:r w:rsidRPr="00753AFD">
              <w:rPr>
                <w:color w:val="000000"/>
                <w:sz w:val="18"/>
                <w:szCs w:val="18"/>
                <w:lang w:val="en-US"/>
              </w:rPr>
              <w:t>reglementat</w:t>
            </w:r>
            <w:proofErr w:type="spellEnd"/>
            <w:r w:rsidRPr="00753AFD">
              <w:rPr>
                <w:color w:val="000000"/>
                <w:sz w:val="18"/>
                <w:szCs w:val="18"/>
                <w:lang w:val="en-US"/>
              </w:rPr>
              <w:t xml:space="preserve"> (</w:t>
            </w:r>
            <w:r w:rsidRPr="00753AFD">
              <w:rPr>
                <w:color w:val="000000"/>
                <w:sz w:val="18"/>
                <w:szCs w:val="18"/>
              </w:rPr>
              <w:t>δ</w:t>
            </w:r>
            <w:r w:rsidRPr="00753AFD">
              <w:rPr>
                <w:color w:val="000000"/>
                <w:sz w:val="18"/>
                <w:szCs w:val="18"/>
                <w:lang w:val="en-US"/>
              </w:rPr>
              <w:t xml:space="preserve">) al </w:t>
            </w:r>
            <w:proofErr w:type="spellStart"/>
            <w:r w:rsidRPr="00753AFD">
              <w:rPr>
                <w:color w:val="000000"/>
                <w:sz w:val="18"/>
                <w:szCs w:val="18"/>
                <w:lang w:val="en-US"/>
              </w:rPr>
              <w:t>opțiunilor</w:t>
            </w:r>
            <w:proofErr w:type="spellEnd"/>
            <w:r w:rsidRPr="00753AFD">
              <w:rPr>
                <w:color w:val="000000"/>
                <w:sz w:val="18"/>
                <w:szCs w:val="18"/>
                <w:lang w:val="en-US"/>
              </w:rPr>
              <w:t xml:space="preserve"> call </w:t>
            </w:r>
            <w:proofErr w:type="spellStart"/>
            <w:r w:rsidRPr="00753AFD">
              <w:rPr>
                <w:color w:val="000000"/>
                <w:sz w:val="18"/>
                <w:szCs w:val="18"/>
                <w:lang w:val="en-US"/>
              </w:rPr>
              <w:t>și</w:t>
            </w:r>
            <w:proofErr w:type="spellEnd"/>
            <w:r w:rsidRPr="00753AFD">
              <w:rPr>
                <w:color w:val="000000"/>
                <w:sz w:val="18"/>
                <w:szCs w:val="18"/>
                <w:lang w:val="en-US"/>
              </w:rPr>
              <w:t xml:space="preserve"> put, </w:t>
            </w:r>
            <w:proofErr w:type="spellStart"/>
            <w:r w:rsidRPr="00753AFD">
              <w:rPr>
                <w:color w:val="000000"/>
                <w:sz w:val="18"/>
                <w:szCs w:val="18"/>
                <w:lang w:val="en-US"/>
              </w:rPr>
              <w:t>atunci</w:t>
            </w:r>
            <w:proofErr w:type="spellEnd"/>
            <w:r w:rsidRPr="00753AFD">
              <w:rPr>
                <w:color w:val="000000"/>
                <w:sz w:val="18"/>
                <w:szCs w:val="18"/>
                <w:lang w:val="en-US"/>
              </w:rPr>
              <w:t xml:space="preserve"> </w:t>
            </w:r>
            <w:proofErr w:type="spellStart"/>
            <w:r w:rsidRPr="00753AFD">
              <w:rPr>
                <w:color w:val="000000"/>
                <w:sz w:val="18"/>
                <w:szCs w:val="18"/>
                <w:lang w:val="en-US"/>
              </w:rPr>
              <w:t>când</w:t>
            </w:r>
            <w:proofErr w:type="spellEnd"/>
            <w:r w:rsidRPr="00753AFD">
              <w:rPr>
                <w:color w:val="000000"/>
                <w:sz w:val="18"/>
                <w:szCs w:val="18"/>
                <w:lang w:val="en-US"/>
              </w:rPr>
              <w:t xml:space="preserve"> sunt </w:t>
            </w:r>
            <w:proofErr w:type="spellStart"/>
            <w:r w:rsidRPr="00753AFD">
              <w:rPr>
                <w:color w:val="000000"/>
                <w:sz w:val="18"/>
                <w:szCs w:val="18"/>
                <w:lang w:val="en-US"/>
              </w:rPr>
              <w:t>încadrate</w:t>
            </w:r>
            <w:proofErr w:type="spellEnd"/>
            <w:r w:rsidRPr="00753AFD">
              <w:rPr>
                <w:color w:val="000000"/>
                <w:sz w:val="18"/>
                <w:szCs w:val="18"/>
                <w:lang w:val="en-US"/>
              </w:rPr>
              <w:t xml:space="preserve"> </w:t>
            </w:r>
            <w:proofErr w:type="spellStart"/>
            <w:r w:rsidRPr="00753AFD">
              <w:rPr>
                <w:color w:val="000000"/>
                <w:sz w:val="18"/>
                <w:szCs w:val="18"/>
                <w:lang w:val="en-US"/>
              </w:rPr>
              <w:t>în</w:t>
            </w:r>
            <w:proofErr w:type="spellEnd"/>
            <w:r w:rsidRPr="00753AFD">
              <w:rPr>
                <w:color w:val="000000"/>
                <w:sz w:val="18"/>
                <w:szCs w:val="18"/>
                <w:lang w:val="en-US"/>
              </w:rPr>
              <w:t xml:space="preserve"> </w:t>
            </w:r>
            <w:proofErr w:type="spellStart"/>
            <w:r w:rsidRPr="00753AFD">
              <w:rPr>
                <w:color w:val="000000"/>
                <w:sz w:val="18"/>
                <w:szCs w:val="18"/>
                <w:lang w:val="en-US"/>
              </w:rPr>
              <w:t>categoria</w:t>
            </w:r>
            <w:proofErr w:type="spellEnd"/>
            <w:r w:rsidRPr="00753AFD">
              <w:rPr>
                <w:color w:val="000000"/>
                <w:sz w:val="18"/>
                <w:szCs w:val="18"/>
                <w:lang w:val="en-US"/>
              </w:rPr>
              <w:t xml:space="preserve"> de </w:t>
            </w:r>
            <w:proofErr w:type="spellStart"/>
            <w:r w:rsidRPr="00753AFD">
              <w:rPr>
                <w:color w:val="000000"/>
                <w:sz w:val="18"/>
                <w:szCs w:val="18"/>
                <w:lang w:val="en-US"/>
              </w:rPr>
              <w:t>risc</w:t>
            </w:r>
            <w:proofErr w:type="spellEnd"/>
            <w:r w:rsidRPr="00753AFD">
              <w:rPr>
                <w:color w:val="000000"/>
                <w:sz w:val="18"/>
                <w:szCs w:val="18"/>
                <w:lang w:val="en-US"/>
              </w:rPr>
              <w:t xml:space="preserve"> de </w:t>
            </w:r>
            <w:proofErr w:type="spellStart"/>
            <w:r w:rsidRPr="00753AFD">
              <w:rPr>
                <w:color w:val="000000"/>
                <w:sz w:val="18"/>
                <w:szCs w:val="18"/>
                <w:lang w:val="en-US"/>
              </w:rPr>
              <w:t>rată</w:t>
            </w:r>
            <w:proofErr w:type="spellEnd"/>
            <w:r w:rsidRPr="00753AFD">
              <w:rPr>
                <w:color w:val="000000"/>
                <w:sz w:val="18"/>
                <w:szCs w:val="18"/>
                <w:lang w:val="en-US"/>
              </w:rPr>
              <w:t xml:space="preserve"> a </w:t>
            </w:r>
            <w:proofErr w:type="spellStart"/>
            <w:r w:rsidRPr="00753AFD">
              <w:rPr>
                <w:color w:val="000000"/>
                <w:sz w:val="18"/>
                <w:szCs w:val="18"/>
                <w:lang w:val="en-US"/>
              </w:rPr>
              <w:t>dobânzii</w:t>
            </w:r>
            <w:proofErr w:type="spellEnd"/>
            <w:r w:rsidRPr="00753AFD">
              <w:rPr>
                <w:color w:val="000000"/>
                <w:sz w:val="18"/>
                <w:szCs w:val="18"/>
                <w:lang w:val="en-US"/>
              </w:rPr>
              <w:t xml:space="preserve"> </w:t>
            </w:r>
            <w:proofErr w:type="spellStart"/>
            <w:r w:rsidRPr="00753AFD">
              <w:rPr>
                <w:color w:val="000000"/>
                <w:sz w:val="18"/>
                <w:szCs w:val="18"/>
                <w:lang w:val="en-US"/>
              </w:rPr>
              <w:t>sau</w:t>
            </w:r>
            <w:proofErr w:type="spellEnd"/>
            <w:r w:rsidRPr="00753AFD">
              <w:rPr>
                <w:color w:val="000000"/>
                <w:sz w:val="18"/>
                <w:szCs w:val="18"/>
                <w:lang w:val="en-US"/>
              </w:rPr>
              <w:t xml:space="preserve"> </w:t>
            </w:r>
            <w:proofErr w:type="spellStart"/>
            <w:r w:rsidRPr="00753AFD">
              <w:rPr>
                <w:color w:val="000000"/>
                <w:sz w:val="18"/>
                <w:szCs w:val="18"/>
                <w:lang w:val="en-US"/>
              </w:rPr>
              <w:t>în</w:t>
            </w:r>
            <w:proofErr w:type="spellEnd"/>
            <w:r w:rsidRPr="00753AFD">
              <w:rPr>
                <w:color w:val="000000"/>
                <w:sz w:val="18"/>
                <w:szCs w:val="18"/>
                <w:lang w:val="en-US"/>
              </w:rPr>
              <w:t xml:space="preserve"> </w:t>
            </w:r>
            <w:proofErr w:type="spellStart"/>
            <w:r w:rsidRPr="00753AFD">
              <w:rPr>
                <w:color w:val="000000"/>
                <w:sz w:val="18"/>
                <w:szCs w:val="18"/>
                <w:lang w:val="en-US"/>
              </w:rPr>
              <w:t>categoria</w:t>
            </w:r>
            <w:proofErr w:type="spellEnd"/>
            <w:r w:rsidRPr="00753AFD">
              <w:rPr>
                <w:color w:val="000000"/>
                <w:sz w:val="18"/>
                <w:szCs w:val="18"/>
                <w:lang w:val="en-US"/>
              </w:rPr>
              <w:t xml:space="preserve"> de </w:t>
            </w:r>
            <w:proofErr w:type="spellStart"/>
            <w:r w:rsidRPr="00753AFD">
              <w:rPr>
                <w:color w:val="000000"/>
                <w:sz w:val="18"/>
                <w:szCs w:val="18"/>
                <w:lang w:val="en-US"/>
              </w:rPr>
              <w:t>risc</w:t>
            </w:r>
            <w:proofErr w:type="spellEnd"/>
            <w:r w:rsidRPr="00753AFD">
              <w:rPr>
                <w:color w:val="000000"/>
                <w:sz w:val="18"/>
                <w:szCs w:val="18"/>
                <w:lang w:val="en-US"/>
              </w:rPr>
              <w:t xml:space="preserve"> de </w:t>
            </w:r>
            <w:proofErr w:type="spellStart"/>
            <w:r w:rsidRPr="00753AFD">
              <w:rPr>
                <w:color w:val="000000"/>
                <w:sz w:val="18"/>
                <w:szCs w:val="18"/>
                <w:lang w:val="en-US"/>
              </w:rPr>
              <w:t>marfă</w:t>
            </w:r>
            <w:proofErr w:type="spellEnd"/>
            <w:r w:rsidRPr="00753AFD">
              <w:rPr>
                <w:color w:val="000000"/>
                <w:sz w:val="18"/>
                <w:szCs w:val="18"/>
                <w:lang w:val="en-US"/>
              </w:rPr>
              <w:t xml:space="preserve"> care </w:t>
            </w:r>
            <w:proofErr w:type="spellStart"/>
            <w:r w:rsidRPr="00753AFD">
              <w:rPr>
                <w:color w:val="000000"/>
                <w:sz w:val="18"/>
                <w:szCs w:val="18"/>
                <w:lang w:val="en-US"/>
              </w:rPr>
              <w:t>este</w:t>
            </w:r>
            <w:proofErr w:type="spellEnd"/>
            <w:r w:rsidRPr="00753AFD">
              <w:rPr>
                <w:color w:val="000000"/>
                <w:sz w:val="18"/>
                <w:szCs w:val="18"/>
                <w:lang w:val="en-US"/>
              </w:rPr>
              <w:t xml:space="preserve"> </w:t>
            </w:r>
            <w:proofErr w:type="spellStart"/>
            <w:r w:rsidRPr="00753AFD">
              <w:rPr>
                <w:color w:val="000000"/>
                <w:sz w:val="18"/>
                <w:szCs w:val="18"/>
                <w:lang w:val="en-US"/>
              </w:rPr>
              <w:t>compatibilă</w:t>
            </w:r>
            <w:proofErr w:type="spellEnd"/>
            <w:r w:rsidRPr="00753AFD">
              <w:rPr>
                <w:color w:val="000000"/>
                <w:sz w:val="18"/>
                <w:szCs w:val="18"/>
                <w:lang w:val="en-US"/>
              </w:rPr>
              <w:t xml:space="preserve"> cu </w:t>
            </w:r>
            <w:proofErr w:type="spellStart"/>
            <w:r w:rsidRPr="00753AFD">
              <w:rPr>
                <w:color w:val="000000"/>
                <w:sz w:val="18"/>
                <w:szCs w:val="18"/>
                <w:lang w:val="en-US"/>
              </w:rPr>
              <w:t>condiții</w:t>
            </w:r>
            <w:proofErr w:type="spellEnd"/>
            <w:r w:rsidRPr="00753AFD">
              <w:rPr>
                <w:color w:val="000000"/>
                <w:sz w:val="18"/>
                <w:szCs w:val="18"/>
                <w:lang w:val="en-US"/>
              </w:rPr>
              <w:t xml:space="preserve"> de </w:t>
            </w:r>
            <w:proofErr w:type="spellStart"/>
            <w:r w:rsidRPr="00753AFD">
              <w:rPr>
                <w:color w:val="000000"/>
                <w:sz w:val="18"/>
                <w:szCs w:val="18"/>
                <w:lang w:val="en-US"/>
              </w:rPr>
              <w:t>piață</w:t>
            </w:r>
            <w:proofErr w:type="spellEnd"/>
            <w:r w:rsidRPr="00753AFD">
              <w:rPr>
                <w:color w:val="000000"/>
                <w:sz w:val="18"/>
                <w:szCs w:val="18"/>
                <w:lang w:val="en-US"/>
              </w:rPr>
              <w:t xml:space="preserve"> </w:t>
            </w:r>
            <w:proofErr w:type="spellStart"/>
            <w:r w:rsidRPr="00753AFD">
              <w:rPr>
                <w:color w:val="000000"/>
                <w:sz w:val="18"/>
                <w:szCs w:val="18"/>
                <w:lang w:val="en-US"/>
              </w:rPr>
              <w:t>în</w:t>
            </w:r>
            <w:proofErr w:type="spellEnd"/>
            <w:r w:rsidRPr="00753AFD">
              <w:rPr>
                <w:color w:val="000000"/>
                <w:sz w:val="18"/>
                <w:szCs w:val="18"/>
                <w:lang w:val="en-US"/>
              </w:rPr>
              <w:t xml:space="preserve"> care </w:t>
            </w:r>
            <w:proofErr w:type="spellStart"/>
            <w:r w:rsidRPr="00753AFD">
              <w:rPr>
                <w:color w:val="000000"/>
                <w:sz w:val="18"/>
                <w:szCs w:val="18"/>
                <w:lang w:val="en-US"/>
              </w:rPr>
              <w:t>ratele</w:t>
            </w:r>
            <w:proofErr w:type="spellEnd"/>
            <w:r w:rsidRPr="00753AFD">
              <w:rPr>
                <w:color w:val="000000"/>
                <w:sz w:val="18"/>
                <w:szCs w:val="18"/>
                <w:lang w:val="en-US"/>
              </w:rPr>
              <w:t xml:space="preserve"> </w:t>
            </w:r>
            <w:proofErr w:type="spellStart"/>
            <w:r w:rsidRPr="00753AFD">
              <w:rPr>
                <w:color w:val="000000"/>
                <w:sz w:val="18"/>
                <w:szCs w:val="18"/>
                <w:lang w:val="en-US"/>
              </w:rPr>
              <w:t>dobânzii</w:t>
            </w:r>
            <w:proofErr w:type="spellEnd"/>
            <w:r w:rsidRPr="00753AFD">
              <w:rPr>
                <w:color w:val="000000"/>
                <w:sz w:val="18"/>
                <w:szCs w:val="18"/>
                <w:lang w:val="en-US"/>
              </w:rPr>
              <w:t xml:space="preserve"> </w:t>
            </w:r>
            <w:proofErr w:type="spellStart"/>
            <w:r w:rsidRPr="00753AFD">
              <w:rPr>
                <w:color w:val="000000"/>
                <w:sz w:val="18"/>
                <w:szCs w:val="18"/>
                <w:lang w:val="en-US"/>
              </w:rPr>
              <w:t>sau</w:t>
            </w:r>
            <w:proofErr w:type="spellEnd"/>
            <w:r w:rsidRPr="00753AFD">
              <w:rPr>
                <w:color w:val="000000"/>
                <w:sz w:val="18"/>
                <w:szCs w:val="18"/>
                <w:lang w:val="en-US"/>
              </w:rPr>
              <w:t xml:space="preserve"> </w:t>
            </w:r>
            <w:proofErr w:type="spellStart"/>
            <w:r w:rsidRPr="00753AFD">
              <w:rPr>
                <w:color w:val="000000"/>
                <w:sz w:val="18"/>
                <w:szCs w:val="18"/>
                <w:lang w:val="en-US"/>
              </w:rPr>
              <w:t>prețurile</w:t>
            </w:r>
            <w:proofErr w:type="spellEnd"/>
            <w:r w:rsidRPr="00753AFD">
              <w:rPr>
                <w:color w:val="000000"/>
                <w:sz w:val="18"/>
                <w:szCs w:val="18"/>
                <w:lang w:val="en-US"/>
              </w:rPr>
              <w:t xml:space="preserve"> </w:t>
            </w:r>
            <w:proofErr w:type="spellStart"/>
            <w:r w:rsidRPr="00753AFD">
              <w:rPr>
                <w:color w:val="000000"/>
                <w:sz w:val="18"/>
                <w:szCs w:val="18"/>
                <w:lang w:val="en-US"/>
              </w:rPr>
              <w:t>mărfurilor</w:t>
            </w:r>
            <w:proofErr w:type="spellEnd"/>
            <w:r w:rsidRPr="00753AFD">
              <w:rPr>
                <w:color w:val="000000"/>
                <w:sz w:val="18"/>
                <w:szCs w:val="18"/>
                <w:lang w:val="en-US"/>
              </w:rPr>
              <w:t xml:space="preserve"> pot fi negative, </w:t>
            </w:r>
            <w:proofErr w:type="spellStart"/>
            <w:r w:rsidRPr="00753AFD">
              <w:rPr>
                <w:color w:val="000000"/>
                <w:sz w:val="18"/>
                <w:szCs w:val="18"/>
                <w:lang w:val="en-US"/>
              </w:rPr>
              <w:t>după</w:t>
            </w:r>
            <w:proofErr w:type="spellEnd"/>
            <w:r w:rsidRPr="00753AFD">
              <w:rPr>
                <w:color w:val="000000"/>
                <w:sz w:val="18"/>
                <w:szCs w:val="18"/>
                <w:lang w:val="en-US"/>
              </w:rPr>
              <w:t xml:space="preserve"> cum </w:t>
            </w:r>
            <w:proofErr w:type="spellStart"/>
            <w:r w:rsidRPr="00753AFD">
              <w:rPr>
                <w:color w:val="000000"/>
                <w:sz w:val="18"/>
                <w:szCs w:val="18"/>
                <w:lang w:val="en-US"/>
              </w:rPr>
              <w:t>urmează</w:t>
            </w:r>
            <w:proofErr w:type="spellEnd"/>
            <w:r w:rsidRPr="00753AFD">
              <w:rPr>
                <w:color w:val="000000"/>
                <w:sz w:val="18"/>
                <w:szCs w:val="18"/>
                <w:lang w:val="en-US"/>
              </w:rPr>
              <w:t>:</w:t>
            </w:r>
          </w:p>
          <w:p w14:paraId="5BFD858F" w14:textId="70497493" w:rsidR="002D6B17" w:rsidRPr="00753AFD" w:rsidRDefault="002D6B17" w:rsidP="002D6B17">
            <w:pPr>
              <w:pStyle w:val="modref"/>
              <w:shd w:val="clear" w:color="auto" w:fill="FFFFFF"/>
              <w:rPr>
                <w:color w:val="000000"/>
                <w:sz w:val="18"/>
                <w:szCs w:val="18"/>
              </w:rPr>
            </w:pPr>
          </w:p>
          <w:p w14:paraId="27F9B171" w14:textId="5663FA80" w:rsidR="002D6B17" w:rsidRPr="00753AFD" w:rsidRDefault="002D6B17" w:rsidP="002D6B17">
            <w:pPr>
              <w:pStyle w:val="norm"/>
              <w:shd w:val="clear" w:color="auto" w:fill="FFFFFF"/>
              <w:rPr>
                <w:color w:val="000000"/>
                <w:sz w:val="18"/>
                <w:szCs w:val="18"/>
              </w:rPr>
            </w:pPr>
            <w:r w:rsidRPr="00753AFD">
              <w:rPr>
                <w:noProof/>
                <w:color w:val="000000"/>
                <w:sz w:val="18"/>
                <w:szCs w:val="18"/>
              </w:rPr>
              <w:drawing>
                <wp:inline distT="0" distB="0" distL="0" distR="0" wp14:anchorId="4C3A170C" wp14:editId="6CA06D36">
                  <wp:extent cx="2563495" cy="471805"/>
                  <wp:effectExtent l="0" t="0" r="8255" b="4445"/>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3495" cy="471805"/>
                          </a:xfrm>
                          <a:prstGeom prst="rect">
                            <a:avLst/>
                          </a:prstGeom>
                          <a:noFill/>
                          <a:ln>
                            <a:noFill/>
                          </a:ln>
                        </pic:spPr>
                      </pic:pic>
                    </a:graphicData>
                  </a:graphic>
                </wp:inline>
              </w:drawing>
            </w:r>
          </w:p>
          <w:p w14:paraId="31190482" w14:textId="77777777" w:rsidR="002D6B17" w:rsidRPr="00753AFD" w:rsidRDefault="002D6B17" w:rsidP="002D6B17">
            <w:pPr>
              <w:pStyle w:val="Normal3"/>
              <w:shd w:val="clear" w:color="auto" w:fill="FFFFFF"/>
              <w:spacing w:before="120" w:beforeAutospacing="0" w:after="0" w:afterAutospacing="0"/>
              <w:jc w:val="both"/>
              <w:rPr>
                <w:color w:val="000000"/>
                <w:sz w:val="18"/>
                <w:szCs w:val="18"/>
              </w:rPr>
            </w:pPr>
            <w:r w:rsidRPr="00753AFD">
              <w:rPr>
                <w:color w:val="000000"/>
                <w:sz w:val="18"/>
                <w:szCs w:val="18"/>
              </w:rPr>
              <w:t>unde:</w:t>
            </w:r>
          </w:p>
          <w:p w14:paraId="27CEBB81" w14:textId="59189983" w:rsidR="002D6B17" w:rsidRDefault="002D6B17" w:rsidP="002D6B17">
            <w:pPr>
              <w:shd w:val="clear" w:color="auto" w:fill="FFFFFF"/>
              <w:jc w:val="both"/>
              <w:rPr>
                <w:color w:val="000000"/>
                <w:sz w:val="18"/>
                <w:szCs w:val="18"/>
                <w:lang w:val="en-US"/>
              </w:rPr>
            </w:pPr>
            <w:r w:rsidRPr="00753AFD">
              <w:rPr>
                <w:noProof/>
                <w:color w:val="000000"/>
                <w:sz w:val="18"/>
                <w:szCs w:val="18"/>
              </w:rPr>
              <w:drawing>
                <wp:inline distT="0" distB="0" distL="0" distR="0" wp14:anchorId="6B931281" wp14:editId="72157580">
                  <wp:extent cx="2563495" cy="243840"/>
                  <wp:effectExtent l="0" t="0" r="8255" b="381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3495" cy="243840"/>
                          </a:xfrm>
                          <a:prstGeom prst="rect">
                            <a:avLst/>
                          </a:prstGeom>
                          <a:noFill/>
                          <a:ln>
                            <a:noFill/>
                          </a:ln>
                        </pic:spPr>
                      </pic:pic>
                    </a:graphicData>
                  </a:graphic>
                </wp:inline>
              </w:drawing>
            </w:r>
          </w:p>
          <w:p w14:paraId="065C0E7B" w14:textId="77777777" w:rsidR="002D6B17" w:rsidRPr="00753AFD" w:rsidRDefault="002D6B17" w:rsidP="002D6B17">
            <w:pPr>
              <w:shd w:val="clear" w:color="auto" w:fill="FFFFFF"/>
              <w:jc w:val="both"/>
              <w:rPr>
                <w:color w:val="000000"/>
                <w:sz w:val="18"/>
                <w:szCs w:val="18"/>
                <w:lang w:val="en-US"/>
              </w:rPr>
            </w:pPr>
          </w:p>
          <w:p w14:paraId="40FC1A42" w14:textId="452B173C" w:rsidR="002D6B17" w:rsidRPr="00753AFD" w:rsidRDefault="002D6B17" w:rsidP="002D6B17">
            <w:pPr>
              <w:shd w:val="clear" w:color="auto" w:fill="FFFFFF"/>
              <w:jc w:val="both"/>
              <w:rPr>
                <w:color w:val="000000"/>
                <w:sz w:val="18"/>
                <w:szCs w:val="18"/>
              </w:rPr>
            </w:pPr>
            <w:r w:rsidRPr="00753AFD">
              <w:rPr>
                <w:noProof/>
                <w:color w:val="000000"/>
                <w:sz w:val="18"/>
                <w:szCs w:val="18"/>
              </w:rPr>
              <w:drawing>
                <wp:inline distT="0" distB="0" distL="0" distR="0" wp14:anchorId="0439D554" wp14:editId="2E4BA510">
                  <wp:extent cx="2563495" cy="148590"/>
                  <wp:effectExtent l="0" t="0" r="8255" b="381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0386" cy="162321"/>
                          </a:xfrm>
                          <a:prstGeom prst="rect">
                            <a:avLst/>
                          </a:prstGeom>
                          <a:noFill/>
                          <a:ln>
                            <a:noFill/>
                          </a:ln>
                        </pic:spPr>
                      </pic:pic>
                    </a:graphicData>
                  </a:graphic>
                </wp:inline>
              </w:drawing>
            </w:r>
          </w:p>
          <w:p w14:paraId="79594217" w14:textId="77777777" w:rsidR="002D6B17" w:rsidRDefault="002D6B17" w:rsidP="002D6B17">
            <w:pPr>
              <w:shd w:val="clear" w:color="auto" w:fill="FFFFFF"/>
              <w:jc w:val="both"/>
              <w:rPr>
                <w:rStyle w:val="italics"/>
                <w:i/>
                <w:iCs/>
                <w:color w:val="000000"/>
                <w:sz w:val="18"/>
                <w:szCs w:val="18"/>
                <w:lang w:val="en-US"/>
              </w:rPr>
            </w:pPr>
          </w:p>
          <w:p w14:paraId="22881A03" w14:textId="14A42CD9" w:rsidR="002D6B17" w:rsidRPr="00753AFD" w:rsidRDefault="002D6B17" w:rsidP="002D6B17">
            <w:pPr>
              <w:shd w:val="clear" w:color="auto" w:fill="FFFFFF"/>
              <w:rPr>
                <w:color w:val="000000"/>
                <w:sz w:val="18"/>
                <w:szCs w:val="18"/>
                <w:lang w:val="en-US"/>
              </w:rPr>
            </w:pPr>
            <w:r w:rsidRPr="00753AFD">
              <w:rPr>
                <w:rStyle w:val="italics"/>
                <w:i/>
                <w:iCs/>
                <w:color w:val="000000"/>
                <w:sz w:val="18"/>
                <w:szCs w:val="18"/>
                <w:lang w:val="en-US"/>
              </w:rPr>
              <w:t>N</w:t>
            </w:r>
            <w:r w:rsidRPr="00753AFD">
              <w:rPr>
                <w:color w:val="000000"/>
                <w:sz w:val="18"/>
                <w:szCs w:val="18"/>
                <w:lang w:val="en-US"/>
              </w:rPr>
              <w:t>(</w:t>
            </w:r>
            <w:r w:rsidRPr="00753AFD">
              <w:rPr>
                <w:rStyle w:val="italics"/>
                <w:i/>
                <w:iCs/>
                <w:color w:val="000000"/>
                <w:sz w:val="18"/>
                <w:szCs w:val="18"/>
                <w:lang w:val="en-US"/>
              </w:rPr>
              <w:t>x</w:t>
            </w:r>
            <w:r w:rsidRPr="00753AFD">
              <w:rPr>
                <w:color w:val="000000"/>
                <w:sz w:val="18"/>
                <w:szCs w:val="18"/>
                <w:lang w:val="en-US"/>
              </w:rPr>
              <w:t xml:space="preserve">) = </w:t>
            </w:r>
            <w:proofErr w:type="spellStart"/>
            <w:r w:rsidRPr="00753AFD">
              <w:rPr>
                <w:color w:val="000000"/>
                <w:sz w:val="18"/>
                <w:szCs w:val="18"/>
                <w:lang w:val="en-US"/>
              </w:rPr>
              <w:t>funcția</w:t>
            </w:r>
            <w:proofErr w:type="spellEnd"/>
            <w:r w:rsidRPr="00753AFD">
              <w:rPr>
                <w:color w:val="000000"/>
                <w:sz w:val="18"/>
                <w:szCs w:val="18"/>
                <w:lang w:val="en-US"/>
              </w:rPr>
              <w:t xml:space="preserve"> de </w:t>
            </w:r>
            <w:proofErr w:type="spellStart"/>
            <w:r w:rsidRPr="00753AFD">
              <w:rPr>
                <w:color w:val="000000"/>
                <w:sz w:val="18"/>
                <w:szCs w:val="18"/>
                <w:lang w:val="en-US"/>
              </w:rPr>
              <w:t>distribuție</w:t>
            </w:r>
            <w:proofErr w:type="spellEnd"/>
            <w:r w:rsidRPr="00753AFD">
              <w:rPr>
                <w:color w:val="000000"/>
                <w:sz w:val="18"/>
                <w:szCs w:val="18"/>
                <w:lang w:val="en-US"/>
              </w:rPr>
              <w:t xml:space="preserve"> </w:t>
            </w:r>
            <w:proofErr w:type="spellStart"/>
            <w:r w:rsidRPr="00753AFD">
              <w:rPr>
                <w:color w:val="000000"/>
                <w:sz w:val="18"/>
                <w:szCs w:val="18"/>
                <w:lang w:val="en-US"/>
              </w:rPr>
              <w:t>cumulativă</w:t>
            </w:r>
            <w:proofErr w:type="spellEnd"/>
            <w:r w:rsidRPr="00753AFD">
              <w:rPr>
                <w:color w:val="000000"/>
                <w:sz w:val="18"/>
                <w:szCs w:val="18"/>
                <w:lang w:val="en-US"/>
              </w:rPr>
              <w:t xml:space="preserve"> a </w:t>
            </w:r>
            <w:proofErr w:type="spellStart"/>
            <w:r w:rsidRPr="00753AFD">
              <w:rPr>
                <w:color w:val="000000"/>
                <w:sz w:val="18"/>
                <w:szCs w:val="18"/>
                <w:lang w:val="en-US"/>
              </w:rPr>
              <w:t>unei</w:t>
            </w:r>
            <w:proofErr w:type="spellEnd"/>
            <w:r w:rsidRPr="00753AFD">
              <w:rPr>
                <w:color w:val="000000"/>
                <w:sz w:val="18"/>
                <w:szCs w:val="18"/>
                <w:lang w:val="en-US"/>
              </w:rPr>
              <w:t xml:space="preserve"> </w:t>
            </w:r>
            <w:proofErr w:type="spellStart"/>
            <w:r w:rsidRPr="00753AFD">
              <w:rPr>
                <w:color w:val="000000"/>
                <w:sz w:val="18"/>
                <w:szCs w:val="18"/>
                <w:lang w:val="en-US"/>
              </w:rPr>
              <w:t>variabile</w:t>
            </w:r>
            <w:proofErr w:type="spellEnd"/>
            <w:r w:rsidRPr="00753AFD">
              <w:rPr>
                <w:color w:val="000000"/>
                <w:sz w:val="18"/>
                <w:szCs w:val="18"/>
                <w:lang w:val="en-US"/>
              </w:rPr>
              <w:t xml:space="preserve"> </w:t>
            </w:r>
            <w:proofErr w:type="spellStart"/>
            <w:r w:rsidRPr="00753AFD">
              <w:rPr>
                <w:color w:val="000000"/>
                <w:sz w:val="18"/>
                <w:szCs w:val="18"/>
                <w:lang w:val="en-US"/>
              </w:rPr>
              <w:t>aleatoare</w:t>
            </w:r>
            <w:proofErr w:type="spellEnd"/>
            <w:r w:rsidRPr="00753AFD">
              <w:rPr>
                <w:color w:val="000000"/>
                <w:sz w:val="18"/>
                <w:szCs w:val="18"/>
                <w:lang w:val="en-US"/>
              </w:rPr>
              <w:t xml:space="preserve"> </w:t>
            </w:r>
            <w:proofErr w:type="spellStart"/>
            <w:r w:rsidRPr="00753AFD">
              <w:rPr>
                <w:color w:val="000000"/>
                <w:sz w:val="18"/>
                <w:szCs w:val="18"/>
                <w:lang w:val="en-US"/>
              </w:rPr>
              <w:t>normale</w:t>
            </w:r>
            <w:proofErr w:type="spellEnd"/>
            <w:r w:rsidRPr="00753AFD">
              <w:rPr>
                <w:color w:val="000000"/>
                <w:sz w:val="18"/>
                <w:szCs w:val="18"/>
                <w:lang w:val="en-US"/>
              </w:rPr>
              <w:t xml:space="preserve"> standard care </w:t>
            </w:r>
            <w:proofErr w:type="spellStart"/>
            <w:r w:rsidRPr="00753AFD">
              <w:rPr>
                <w:color w:val="000000"/>
                <w:sz w:val="18"/>
                <w:szCs w:val="18"/>
                <w:lang w:val="en-US"/>
              </w:rPr>
              <w:t>exprimă</w:t>
            </w:r>
            <w:proofErr w:type="spellEnd"/>
            <w:r w:rsidRPr="00753AFD">
              <w:rPr>
                <w:color w:val="000000"/>
                <w:sz w:val="18"/>
                <w:szCs w:val="18"/>
                <w:lang w:val="en-US"/>
              </w:rPr>
              <w:t xml:space="preserve"> </w:t>
            </w:r>
            <w:proofErr w:type="spellStart"/>
            <w:r w:rsidRPr="00753AFD">
              <w:rPr>
                <w:color w:val="000000"/>
                <w:sz w:val="18"/>
                <w:szCs w:val="18"/>
                <w:lang w:val="en-US"/>
              </w:rPr>
              <w:t>probabilitatea</w:t>
            </w:r>
            <w:proofErr w:type="spellEnd"/>
            <w:r w:rsidRPr="00753AFD">
              <w:rPr>
                <w:color w:val="000000"/>
                <w:sz w:val="18"/>
                <w:szCs w:val="18"/>
                <w:lang w:val="en-US"/>
              </w:rPr>
              <w:t xml:space="preserve"> ca o </w:t>
            </w:r>
            <w:proofErr w:type="spellStart"/>
            <w:r w:rsidRPr="00753AFD">
              <w:rPr>
                <w:color w:val="000000"/>
                <w:sz w:val="18"/>
                <w:szCs w:val="18"/>
                <w:lang w:val="en-US"/>
              </w:rPr>
              <w:t>variabilă</w:t>
            </w:r>
            <w:proofErr w:type="spellEnd"/>
            <w:r w:rsidRPr="00753AFD">
              <w:rPr>
                <w:color w:val="000000"/>
                <w:sz w:val="18"/>
                <w:szCs w:val="18"/>
                <w:lang w:val="en-US"/>
              </w:rPr>
              <w:t xml:space="preserve"> </w:t>
            </w:r>
            <w:proofErr w:type="spellStart"/>
            <w:r w:rsidRPr="00753AFD">
              <w:rPr>
                <w:color w:val="000000"/>
                <w:sz w:val="18"/>
                <w:szCs w:val="18"/>
                <w:lang w:val="en-US"/>
              </w:rPr>
              <w:t>aleatoare</w:t>
            </w:r>
            <w:proofErr w:type="spellEnd"/>
            <w:r w:rsidRPr="00753AFD">
              <w:rPr>
                <w:color w:val="000000"/>
                <w:sz w:val="18"/>
                <w:szCs w:val="18"/>
                <w:lang w:val="en-US"/>
              </w:rPr>
              <w:t xml:space="preserve"> normal </w:t>
            </w:r>
            <w:proofErr w:type="spellStart"/>
            <w:r w:rsidRPr="00753AFD">
              <w:rPr>
                <w:color w:val="000000"/>
                <w:sz w:val="18"/>
                <w:szCs w:val="18"/>
                <w:lang w:val="en-US"/>
              </w:rPr>
              <w:t>distribuită</w:t>
            </w:r>
            <w:proofErr w:type="spellEnd"/>
            <w:r w:rsidRPr="00753AFD">
              <w:rPr>
                <w:color w:val="000000"/>
                <w:sz w:val="18"/>
                <w:szCs w:val="18"/>
                <w:lang w:val="en-US"/>
              </w:rPr>
              <w:t xml:space="preserve">, cu media zero </w:t>
            </w:r>
            <w:proofErr w:type="spellStart"/>
            <w:r w:rsidRPr="00753AFD">
              <w:rPr>
                <w:color w:val="000000"/>
                <w:sz w:val="18"/>
                <w:szCs w:val="18"/>
                <w:lang w:val="en-US"/>
              </w:rPr>
              <w:t>și</w:t>
            </w:r>
            <w:proofErr w:type="spellEnd"/>
            <w:r w:rsidRPr="00753AFD">
              <w:rPr>
                <w:color w:val="000000"/>
                <w:sz w:val="18"/>
                <w:szCs w:val="18"/>
                <w:lang w:val="en-US"/>
              </w:rPr>
              <w:t xml:space="preserve"> </w:t>
            </w:r>
            <w:proofErr w:type="spellStart"/>
            <w:r w:rsidRPr="00753AFD">
              <w:rPr>
                <w:color w:val="000000"/>
                <w:sz w:val="18"/>
                <w:szCs w:val="18"/>
                <w:lang w:val="en-US"/>
              </w:rPr>
              <w:t>varianța</w:t>
            </w:r>
            <w:proofErr w:type="spellEnd"/>
            <w:r w:rsidRPr="00753AFD">
              <w:rPr>
                <w:color w:val="000000"/>
                <w:sz w:val="18"/>
                <w:szCs w:val="18"/>
                <w:lang w:val="en-US"/>
              </w:rPr>
              <w:t xml:space="preserve"> 1, </w:t>
            </w:r>
            <w:proofErr w:type="spellStart"/>
            <w:r w:rsidRPr="00753AFD">
              <w:rPr>
                <w:color w:val="000000"/>
                <w:sz w:val="18"/>
                <w:szCs w:val="18"/>
                <w:lang w:val="en-US"/>
              </w:rPr>
              <w:t>să</w:t>
            </w:r>
            <w:proofErr w:type="spellEnd"/>
            <w:r w:rsidRPr="00753AFD">
              <w:rPr>
                <w:color w:val="000000"/>
                <w:sz w:val="18"/>
                <w:szCs w:val="18"/>
                <w:lang w:val="en-US"/>
              </w:rPr>
              <w:t xml:space="preserve"> fie </w:t>
            </w:r>
            <w:proofErr w:type="spellStart"/>
            <w:r w:rsidRPr="00753AFD">
              <w:rPr>
                <w:color w:val="000000"/>
                <w:sz w:val="18"/>
                <w:szCs w:val="18"/>
                <w:lang w:val="en-US"/>
              </w:rPr>
              <w:t>mai</w:t>
            </w:r>
            <w:proofErr w:type="spellEnd"/>
            <w:r w:rsidRPr="00753AFD">
              <w:rPr>
                <w:color w:val="000000"/>
                <w:sz w:val="18"/>
                <w:szCs w:val="18"/>
                <w:lang w:val="en-US"/>
              </w:rPr>
              <w:t xml:space="preserve"> </w:t>
            </w:r>
            <w:proofErr w:type="spellStart"/>
            <w:r w:rsidRPr="00753AFD">
              <w:rPr>
                <w:color w:val="000000"/>
                <w:sz w:val="18"/>
                <w:szCs w:val="18"/>
                <w:lang w:val="en-US"/>
              </w:rPr>
              <w:t>mică</w:t>
            </w:r>
            <w:proofErr w:type="spellEnd"/>
            <w:r w:rsidRPr="00753AFD">
              <w:rPr>
                <w:color w:val="000000"/>
                <w:sz w:val="18"/>
                <w:szCs w:val="18"/>
                <w:lang w:val="en-US"/>
              </w:rPr>
              <w:t xml:space="preserve"> </w:t>
            </w:r>
            <w:proofErr w:type="spellStart"/>
            <w:r w:rsidRPr="00753AFD">
              <w:rPr>
                <w:color w:val="000000"/>
                <w:sz w:val="18"/>
                <w:szCs w:val="18"/>
                <w:lang w:val="en-US"/>
              </w:rPr>
              <w:t>sau</w:t>
            </w:r>
            <w:proofErr w:type="spellEnd"/>
            <w:r w:rsidRPr="00753AFD">
              <w:rPr>
                <w:color w:val="000000"/>
                <w:sz w:val="18"/>
                <w:szCs w:val="18"/>
                <w:lang w:val="en-US"/>
              </w:rPr>
              <w:t xml:space="preserve"> </w:t>
            </w:r>
            <w:proofErr w:type="spellStart"/>
            <w:r w:rsidRPr="00753AFD">
              <w:rPr>
                <w:color w:val="000000"/>
                <w:sz w:val="18"/>
                <w:szCs w:val="18"/>
                <w:lang w:val="en-US"/>
              </w:rPr>
              <w:t>egală</w:t>
            </w:r>
            <w:proofErr w:type="spellEnd"/>
            <w:r w:rsidRPr="00753AFD">
              <w:rPr>
                <w:color w:val="000000"/>
                <w:sz w:val="18"/>
                <w:szCs w:val="18"/>
                <w:lang w:val="en-US"/>
              </w:rPr>
              <w:t xml:space="preserve"> cu „x</w:t>
            </w:r>
            <w:proofErr w:type="gramStart"/>
            <w:r w:rsidRPr="00753AFD">
              <w:rPr>
                <w:color w:val="000000"/>
                <w:sz w:val="18"/>
                <w:szCs w:val="18"/>
                <w:lang w:val="en-US"/>
              </w:rPr>
              <w:t>”;</w:t>
            </w:r>
            <w:proofErr w:type="gramEnd"/>
          </w:p>
          <w:p w14:paraId="5A5ABC3B" w14:textId="77777777" w:rsidR="002D6B17" w:rsidRPr="00753AFD" w:rsidRDefault="002D6B17" w:rsidP="002D6B17">
            <w:pPr>
              <w:shd w:val="clear" w:color="auto" w:fill="FFFFFF"/>
              <w:rPr>
                <w:color w:val="000000"/>
                <w:sz w:val="18"/>
                <w:szCs w:val="18"/>
                <w:lang w:val="en-US"/>
              </w:rPr>
            </w:pPr>
            <w:r w:rsidRPr="00753AFD">
              <w:rPr>
                <w:rStyle w:val="italics"/>
                <w:i/>
                <w:iCs/>
                <w:color w:val="000000"/>
                <w:sz w:val="18"/>
                <w:szCs w:val="18"/>
                <w:lang w:val="en-US"/>
              </w:rPr>
              <w:t>P</w:t>
            </w:r>
            <w:r w:rsidRPr="00753AFD">
              <w:rPr>
                <w:color w:val="000000"/>
                <w:sz w:val="18"/>
                <w:szCs w:val="18"/>
                <w:lang w:val="en-US"/>
              </w:rPr>
              <w:t xml:space="preserve"> = </w:t>
            </w:r>
            <w:proofErr w:type="spellStart"/>
            <w:r w:rsidRPr="00753AFD">
              <w:rPr>
                <w:color w:val="000000"/>
                <w:sz w:val="18"/>
                <w:szCs w:val="18"/>
                <w:lang w:val="en-US"/>
              </w:rPr>
              <w:t>prețul</w:t>
            </w:r>
            <w:proofErr w:type="spellEnd"/>
            <w:r w:rsidRPr="00753AFD">
              <w:rPr>
                <w:color w:val="000000"/>
                <w:sz w:val="18"/>
                <w:szCs w:val="18"/>
                <w:lang w:val="en-US"/>
              </w:rPr>
              <w:t xml:space="preserve"> la </w:t>
            </w:r>
            <w:proofErr w:type="spellStart"/>
            <w:r w:rsidRPr="00753AFD">
              <w:rPr>
                <w:color w:val="000000"/>
                <w:sz w:val="18"/>
                <w:szCs w:val="18"/>
                <w:lang w:val="en-US"/>
              </w:rPr>
              <w:t>vedere</w:t>
            </w:r>
            <w:proofErr w:type="spellEnd"/>
            <w:r w:rsidRPr="00753AFD">
              <w:rPr>
                <w:color w:val="000000"/>
                <w:sz w:val="18"/>
                <w:szCs w:val="18"/>
                <w:lang w:val="en-US"/>
              </w:rPr>
              <w:t xml:space="preserve"> </w:t>
            </w:r>
            <w:proofErr w:type="spellStart"/>
            <w:r w:rsidRPr="00753AFD">
              <w:rPr>
                <w:color w:val="000000"/>
                <w:sz w:val="18"/>
                <w:szCs w:val="18"/>
                <w:lang w:val="en-US"/>
              </w:rPr>
              <w:t>sau</w:t>
            </w:r>
            <w:proofErr w:type="spellEnd"/>
            <w:r w:rsidRPr="00753AFD">
              <w:rPr>
                <w:color w:val="000000"/>
                <w:sz w:val="18"/>
                <w:szCs w:val="18"/>
                <w:lang w:val="en-US"/>
              </w:rPr>
              <w:t xml:space="preserve"> la termen al </w:t>
            </w:r>
            <w:proofErr w:type="spellStart"/>
            <w:r w:rsidRPr="00753AFD">
              <w:rPr>
                <w:color w:val="000000"/>
                <w:sz w:val="18"/>
                <w:szCs w:val="18"/>
                <w:lang w:val="en-US"/>
              </w:rPr>
              <w:t>instrumentului-suport</w:t>
            </w:r>
            <w:proofErr w:type="spellEnd"/>
            <w:r w:rsidRPr="00753AFD">
              <w:rPr>
                <w:color w:val="000000"/>
                <w:sz w:val="18"/>
                <w:szCs w:val="18"/>
                <w:lang w:val="en-US"/>
              </w:rPr>
              <w:t xml:space="preserve"> al </w:t>
            </w:r>
            <w:proofErr w:type="spellStart"/>
            <w:proofErr w:type="gramStart"/>
            <w:r w:rsidRPr="00753AFD">
              <w:rPr>
                <w:color w:val="000000"/>
                <w:sz w:val="18"/>
                <w:szCs w:val="18"/>
                <w:lang w:val="en-US"/>
              </w:rPr>
              <w:t>opțiunii</w:t>
            </w:r>
            <w:proofErr w:type="spellEnd"/>
            <w:r w:rsidRPr="00753AFD">
              <w:rPr>
                <w:color w:val="000000"/>
                <w:sz w:val="18"/>
                <w:szCs w:val="18"/>
                <w:lang w:val="en-US"/>
              </w:rPr>
              <w:t>;</w:t>
            </w:r>
            <w:proofErr w:type="gramEnd"/>
          </w:p>
          <w:p w14:paraId="65F406C9" w14:textId="77777777" w:rsidR="002D6B17" w:rsidRPr="00753AFD" w:rsidRDefault="002D6B17" w:rsidP="002D6B17">
            <w:pPr>
              <w:shd w:val="clear" w:color="auto" w:fill="FFFFFF"/>
              <w:rPr>
                <w:color w:val="000000"/>
                <w:sz w:val="18"/>
                <w:szCs w:val="18"/>
                <w:lang w:val="en-US"/>
              </w:rPr>
            </w:pPr>
            <w:r w:rsidRPr="00753AFD">
              <w:rPr>
                <w:rStyle w:val="italics"/>
                <w:i/>
                <w:iCs/>
                <w:color w:val="000000"/>
                <w:sz w:val="18"/>
                <w:szCs w:val="18"/>
                <w:lang w:val="en-US"/>
              </w:rPr>
              <w:t>K</w:t>
            </w:r>
            <w:r w:rsidRPr="00753AFD">
              <w:rPr>
                <w:color w:val="000000"/>
                <w:sz w:val="18"/>
                <w:szCs w:val="18"/>
                <w:lang w:val="en-US"/>
              </w:rPr>
              <w:t xml:space="preserve"> = </w:t>
            </w:r>
            <w:proofErr w:type="spellStart"/>
            <w:r w:rsidRPr="00753AFD">
              <w:rPr>
                <w:color w:val="000000"/>
                <w:sz w:val="18"/>
                <w:szCs w:val="18"/>
                <w:lang w:val="en-US"/>
              </w:rPr>
              <w:t>prețul</w:t>
            </w:r>
            <w:proofErr w:type="spellEnd"/>
            <w:r w:rsidRPr="00753AFD">
              <w:rPr>
                <w:color w:val="000000"/>
                <w:sz w:val="18"/>
                <w:szCs w:val="18"/>
                <w:lang w:val="en-US"/>
              </w:rPr>
              <w:t xml:space="preserve"> de </w:t>
            </w:r>
            <w:proofErr w:type="spellStart"/>
            <w:r w:rsidRPr="00753AFD">
              <w:rPr>
                <w:color w:val="000000"/>
                <w:sz w:val="18"/>
                <w:szCs w:val="18"/>
                <w:lang w:val="en-US"/>
              </w:rPr>
              <w:t>exercitare</w:t>
            </w:r>
            <w:proofErr w:type="spellEnd"/>
            <w:r w:rsidRPr="00753AFD">
              <w:rPr>
                <w:color w:val="000000"/>
                <w:sz w:val="18"/>
                <w:szCs w:val="18"/>
                <w:lang w:val="en-US"/>
              </w:rPr>
              <w:t xml:space="preserve"> a </w:t>
            </w:r>
            <w:proofErr w:type="spellStart"/>
            <w:proofErr w:type="gramStart"/>
            <w:r w:rsidRPr="00753AFD">
              <w:rPr>
                <w:color w:val="000000"/>
                <w:sz w:val="18"/>
                <w:szCs w:val="18"/>
                <w:lang w:val="en-US"/>
              </w:rPr>
              <w:t>opțiunii</w:t>
            </w:r>
            <w:proofErr w:type="spellEnd"/>
            <w:r w:rsidRPr="00753AFD">
              <w:rPr>
                <w:color w:val="000000"/>
                <w:sz w:val="18"/>
                <w:szCs w:val="18"/>
                <w:lang w:val="en-US"/>
              </w:rPr>
              <w:t>;</w:t>
            </w:r>
            <w:proofErr w:type="gramEnd"/>
          </w:p>
          <w:p w14:paraId="5DB547AD" w14:textId="77777777" w:rsidR="002D6B17" w:rsidRPr="00753AFD" w:rsidRDefault="002D6B17" w:rsidP="002D6B17">
            <w:pPr>
              <w:shd w:val="clear" w:color="auto" w:fill="FFFFFF"/>
              <w:rPr>
                <w:color w:val="000000"/>
                <w:sz w:val="18"/>
                <w:szCs w:val="18"/>
                <w:lang w:val="en-US"/>
              </w:rPr>
            </w:pPr>
            <w:r w:rsidRPr="00753AFD">
              <w:rPr>
                <w:rStyle w:val="italics"/>
                <w:i/>
                <w:iCs/>
                <w:color w:val="000000"/>
                <w:sz w:val="18"/>
                <w:szCs w:val="18"/>
                <w:lang w:val="en-US"/>
              </w:rPr>
              <w:t>T</w:t>
            </w:r>
            <w:r w:rsidRPr="00753AFD">
              <w:rPr>
                <w:color w:val="000000"/>
                <w:sz w:val="18"/>
                <w:szCs w:val="18"/>
                <w:lang w:val="en-US"/>
              </w:rPr>
              <w:t xml:space="preserve"> = data de </w:t>
            </w:r>
            <w:proofErr w:type="spellStart"/>
            <w:r w:rsidRPr="00753AFD">
              <w:rPr>
                <w:color w:val="000000"/>
                <w:sz w:val="18"/>
                <w:szCs w:val="18"/>
                <w:lang w:val="en-US"/>
              </w:rPr>
              <w:t>expirare</w:t>
            </w:r>
            <w:proofErr w:type="spellEnd"/>
            <w:r w:rsidRPr="00753AFD">
              <w:rPr>
                <w:color w:val="000000"/>
                <w:sz w:val="18"/>
                <w:szCs w:val="18"/>
                <w:lang w:val="en-US"/>
              </w:rPr>
              <w:t xml:space="preserve"> </w:t>
            </w:r>
            <w:proofErr w:type="gramStart"/>
            <w:r w:rsidRPr="00753AFD">
              <w:rPr>
                <w:color w:val="000000"/>
                <w:sz w:val="18"/>
                <w:szCs w:val="18"/>
                <w:lang w:val="en-US"/>
              </w:rPr>
              <w:t>a</w:t>
            </w:r>
            <w:proofErr w:type="gramEnd"/>
            <w:r w:rsidRPr="00753AFD">
              <w:rPr>
                <w:color w:val="000000"/>
                <w:sz w:val="18"/>
                <w:szCs w:val="18"/>
                <w:lang w:val="en-US"/>
              </w:rPr>
              <w:t xml:space="preserve"> </w:t>
            </w:r>
            <w:proofErr w:type="spellStart"/>
            <w:r w:rsidRPr="00753AFD">
              <w:rPr>
                <w:color w:val="000000"/>
                <w:sz w:val="18"/>
                <w:szCs w:val="18"/>
                <w:lang w:val="en-US"/>
              </w:rPr>
              <w:t>opțiunii</w:t>
            </w:r>
            <w:proofErr w:type="spellEnd"/>
            <w:r w:rsidRPr="00753AFD">
              <w:rPr>
                <w:color w:val="000000"/>
                <w:sz w:val="18"/>
                <w:szCs w:val="18"/>
                <w:lang w:val="en-US"/>
              </w:rPr>
              <w:t xml:space="preserve">, </w:t>
            </w:r>
            <w:proofErr w:type="spellStart"/>
            <w:r w:rsidRPr="00753AFD">
              <w:rPr>
                <w:color w:val="000000"/>
                <w:sz w:val="18"/>
                <w:szCs w:val="18"/>
                <w:lang w:val="en-US"/>
              </w:rPr>
              <w:t>exprimată</w:t>
            </w:r>
            <w:proofErr w:type="spellEnd"/>
            <w:r w:rsidRPr="00753AFD">
              <w:rPr>
                <w:color w:val="000000"/>
                <w:sz w:val="18"/>
                <w:szCs w:val="18"/>
                <w:lang w:val="en-US"/>
              </w:rPr>
              <w:t xml:space="preserve"> </w:t>
            </w:r>
            <w:proofErr w:type="spellStart"/>
            <w:r w:rsidRPr="00753AFD">
              <w:rPr>
                <w:color w:val="000000"/>
                <w:sz w:val="18"/>
                <w:szCs w:val="18"/>
                <w:lang w:val="en-US"/>
              </w:rPr>
              <w:t>în</w:t>
            </w:r>
            <w:proofErr w:type="spellEnd"/>
            <w:r w:rsidRPr="00753AFD">
              <w:rPr>
                <w:color w:val="000000"/>
                <w:sz w:val="18"/>
                <w:szCs w:val="18"/>
                <w:lang w:val="en-US"/>
              </w:rPr>
              <w:t xml:space="preserve"> ani </w:t>
            </w:r>
            <w:proofErr w:type="spellStart"/>
            <w:r w:rsidRPr="00753AFD">
              <w:rPr>
                <w:color w:val="000000"/>
                <w:sz w:val="18"/>
                <w:szCs w:val="18"/>
                <w:lang w:val="en-US"/>
              </w:rPr>
              <w:t>utilizând</w:t>
            </w:r>
            <w:proofErr w:type="spellEnd"/>
            <w:r w:rsidRPr="00753AFD">
              <w:rPr>
                <w:color w:val="000000"/>
                <w:sz w:val="18"/>
                <w:szCs w:val="18"/>
                <w:lang w:val="en-US"/>
              </w:rPr>
              <w:t xml:space="preserve"> </w:t>
            </w:r>
            <w:proofErr w:type="spellStart"/>
            <w:r w:rsidRPr="00753AFD">
              <w:rPr>
                <w:color w:val="000000"/>
                <w:sz w:val="18"/>
                <w:szCs w:val="18"/>
                <w:lang w:val="en-US"/>
              </w:rPr>
              <w:t>convenția</w:t>
            </w:r>
            <w:proofErr w:type="spellEnd"/>
            <w:r w:rsidRPr="00753AFD">
              <w:rPr>
                <w:color w:val="000000"/>
                <w:sz w:val="18"/>
                <w:szCs w:val="18"/>
                <w:lang w:val="en-US"/>
              </w:rPr>
              <w:t xml:space="preserve"> </w:t>
            </w:r>
            <w:proofErr w:type="spellStart"/>
            <w:r w:rsidRPr="00753AFD">
              <w:rPr>
                <w:color w:val="000000"/>
                <w:sz w:val="18"/>
                <w:szCs w:val="18"/>
                <w:lang w:val="en-US"/>
              </w:rPr>
              <w:t>relevantă</w:t>
            </w:r>
            <w:proofErr w:type="spellEnd"/>
            <w:r w:rsidRPr="00753AFD">
              <w:rPr>
                <w:color w:val="000000"/>
                <w:sz w:val="18"/>
                <w:szCs w:val="18"/>
                <w:lang w:val="en-US"/>
              </w:rPr>
              <w:t xml:space="preserve"> </w:t>
            </w:r>
            <w:proofErr w:type="spellStart"/>
            <w:r w:rsidRPr="00753AFD">
              <w:rPr>
                <w:color w:val="000000"/>
                <w:sz w:val="18"/>
                <w:szCs w:val="18"/>
                <w:lang w:val="en-US"/>
              </w:rPr>
              <w:t>privind</w:t>
            </w:r>
            <w:proofErr w:type="spellEnd"/>
            <w:r w:rsidRPr="00753AFD">
              <w:rPr>
                <w:color w:val="000000"/>
                <w:sz w:val="18"/>
                <w:szCs w:val="18"/>
                <w:lang w:val="en-US"/>
              </w:rPr>
              <w:t xml:space="preserve"> </w:t>
            </w:r>
            <w:proofErr w:type="spellStart"/>
            <w:r w:rsidRPr="00753AFD">
              <w:rPr>
                <w:color w:val="000000"/>
                <w:sz w:val="18"/>
                <w:szCs w:val="18"/>
                <w:lang w:val="en-US"/>
              </w:rPr>
              <w:t>zilele</w:t>
            </w:r>
            <w:proofErr w:type="spellEnd"/>
            <w:r w:rsidRPr="00753AFD">
              <w:rPr>
                <w:color w:val="000000"/>
                <w:sz w:val="18"/>
                <w:szCs w:val="18"/>
                <w:lang w:val="en-US"/>
              </w:rPr>
              <w:t xml:space="preserve"> </w:t>
            </w:r>
            <w:proofErr w:type="spellStart"/>
            <w:proofErr w:type="gramStart"/>
            <w:r w:rsidRPr="00753AFD">
              <w:rPr>
                <w:color w:val="000000"/>
                <w:sz w:val="18"/>
                <w:szCs w:val="18"/>
                <w:lang w:val="en-US"/>
              </w:rPr>
              <w:t>lucrătoare</w:t>
            </w:r>
            <w:proofErr w:type="spellEnd"/>
            <w:r w:rsidRPr="00753AFD">
              <w:rPr>
                <w:color w:val="000000"/>
                <w:sz w:val="18"/>
                <w:szCs w:val="18"/>
                <w:lang w:val="en-US"/>
              </w:rPr>
              <w:t>;</w:t>
            </w:r>
            <w:proofErr w:type="gramEnd"/>
          </w:p>
          <w:p w14:paraId="0E8B9EF4" w14:textId="77777777" w:rsidR="002D6B17" w:rsidRPr="00753AFD" w:rsidRDefault="002D6B17" w:rsidP="002D6B17">
            <w:pPr>
              <w:shd w:val="clear" w:color="auto" w:fill="FFFFFF"/>
              <w:rPr>
                <w:color w:val="000000"/>
                <w:sz w:val="18"/>
                <w:szCs w:val="18"/>
                <w:lang w:val="en-US"/>
              </w:rPr>
            </w:pPr>
            <w:r w:rsidRPr="00753AFD">
              <w:rPr>
                <w:rStyle w:val="italics"/>
                <w:i/>
                <w:iCs/>
                <w:color w:val="000000"/>
                <w:sz w:val="18"/>
                <w:szCs w:val="18"/>
              </w:rPr>
              <w:lastRenderedPageBreak/>
              <w:t>λ</w:t>
            </w:r>
            <w:r w:rsidRPr="00753AFD">
              <w:rPr>
                <w:color w:val="000000"/>
                <w:sz w:val="18"/>
                <w:szCs w:val="18"/>
                <w:lang w:val="en-US"/>
              </w:rPr>
              <w:t xml:space="preserve"> = </w:t>
            </w:r>
            <w:proofErr w:type="spellStart"/>
            <w:r w:rsidRPr="00753AFD">
              <w:rPr>
                <w:color w:val="000000"/>
                <w:sz w:val="18"/>
                <w:szCs w:val="18"/>
                <w:lang w:val="en-US"/>
              </w:rPr>
              <w:t>factorul</w:t>
            </w:r>
            <w:proofErr w:type="spellEnd"/>
            <w:r w:rsidRPr="00753AFD">
              <w:rPr>
                <w:color w:val="000000"/>
                <w:sz w:val="18"/>
                <w:szCs w:val="18"/>
                <w:lang w:val="en-US"/>
              </w:rPr>
              <w:t xml:space="preserve"> de </w:t>
            </w:r>
            <w:proofErr w:type="spellStart"/>
            <w:r w:rsidRPr="00753AFD">
              <w:rPr>
                <w:color w:val="000000"/>
                <w:sz w:val="18"/>
                <w:szCs w:val="18"/>
                <w:lang w:val="en-US"/>
              </w:rPr>
              <w:t>decalare</w:t>
            </w:r>
            <w:proofErr w:type="spellEnd"/>
            <w:r w:rsidRPr="00753AFD">
              <w:rPr>
                <w:color w:val="000000"/>
                <w:sz w:val="18"/>
                <w:szCs w:val="18"/>
                <w:lang w:val="en-US"/>
              </w:rPr>
              <w:t xml:space="preserve"> </w:t>
            </w:r>
            <w:proofErr w:type="spellStart"/>
            <w:r w:rsidRPr="00753AFD">
              <w:rPr>
                <w:color w:val="000000"/>
                <w:sz w:val="18"/>
                <w:szCs w:val="18"/>
                <w:lang w:val="en-US"/>
              </w:rPr>
              <w:t>adecvat</w:t>
            </w:r>
            <w:proofErr w:type="spellEnd"/>
            <w:r w:rsidRPr="00753AFD">
              <w:rPr>
                <w:color w:val="000000"/>
                <w:sz w:val="18"/>
                <w:szCs w:val="18"/>
                <w:lang w:val="en-US"/>
              </w:rPr>
              <w:t xml:space="preserve"> </w:t>
            </w:r>
            <w:proofErr w:type="spellStart"/>
            <w:r w:rsidRPr="00753AFD">
              <w:rPr>
                <w:color w:val="000000"/>
                <w:sz w:val="18"/>
                <w:szCs w:val="18"/>
                <w:lang w:val="en-US"/>
              </w:rPr>
              <w:t>pentru</w:t>
            </w:r>
            <w:proofErr w:type="spellEnd"/>
            <w:r w:rsidRPr="00753AFD">
              <w:rPr>
                <w:color w:val="000000"/>
                <w:sz w:val="18"/>
                <w:szCs w:val="18"/>
                <w:lang w:val="en-US"/>
              </w:rPr>
              <w:t xml:space="preserve"> a </w:t>
            </w:r>
            <w:proofErr w:type="spellStart"/>
            <w:r w:rsidRPr="00753AFD">
              <w:rPr>
                <w:color w:val="000000"/>
                <w:sz w:val="18"/>
                <w:szCs w:val="18"/>
                <w:lang w:val="en-US"/>
              </w:rPr>
              <w:t>transforma</w:t>
            </w:r>
            <w:proofErr w:type="spellEnd"/>
            <w:r w:rsidRPr="00753AFD">
              <w:rPr>
                <w:color w:val="000000"/>
                <w:sz w:val="18"/>
                <w:szCs w:val="18"/>
                <w:lang w:val="en-US"/>
              </w:rPr>
              <w:t xml:space="preserve"> </w:t>
            </w:r>
            <w:proofErr w:type="spellStart"/>
            <w:r w:rsidRPr="00753AFD">
              <w:rPr>
                <w:color w:val="000000"/>
                <w:sz w:val="18"/>
                <w:szCs w:val="18"/>
                <w:lang w:val="en-US"/>
              </w:rPr>
              <w:t>atât</w:t>
            </w:r>
            <w:proofErr w:type="spellEnd"/>
            <w:r w:rsidRPr="00753AFD">
              <w:rPr>
                <w:color w:val="000000"/>
                <w:sz w:val="18"/>
                <w:szCs w:val="18"/>
                <w:lang w:val="en-US"/>
              </w:rPr>
              <w:t> </w:t>
            </w:r>
            <w:r w:rsidRPr="00753AFD">
              <w:rPr>
                <w:rStyle w:val="italics"/>
                <w:i/>
                <w:iCs/>
                <w:color w:val="000000"/>
                <w:sz w:val="18"/>
                <w:szCs w:val="18"/>
                <w:lang w:val="en-US"/>
              </w:rPr>
              <w:t>P</w:t>
            </w:r>
            <w:r w:rsidRPr="00753AFD">
              <w:rPr>
                <w:color w:val="000000"/>
                <w:sz w:val="18"/>
                <w:szCs w:val="18"/>
                <w:lang w:val="en-US"/>
              </w:rPr>
              <w:t xml:space="preserve">, </w:t>
            </w:r>
            <w:proofErr w:type="spellStart"/>
            <w:r w:rsidRPr="00753AFD">
              <w:rPr>
                <w:color w:val="000000"/>
                <w:sz w:val="18"/>
                <w:szCs w:val="18"/>
                <w:lang w:val="en-US"/>
              </w:rPr>
              <w:t>cât</w:t>
            </w:r>
            <w:proofErr w:type="spellEnd"/>
            <w:r w:rsidRPr="00753AFD">
              <w:rPr>
                <w:color w:val="000000"/>
                <w:sz w:val="18"/>
                <w:szCs w:val="18"/>
                <w:lang w:val="en-US"/>
              </w:rPr>
              <w:t xml:space="preserve"> </w:t>
            </w:r>
            <w:proofErr w:type="spellStart"/>
            <w:r w:rsidRPr="00753AFD">
              <w:rPr>
                <w:color w:val="000000"/>
                <w:sz w:val="18"/>
                <w:szCs w:val="18"/>
                <w:lang w:val="en-US"/>
              </w:rPr>
              <w:t>și</w:t>
            </w:r>
            <w:proofErr w:type="spellEnd"/>
            <w:r w:rsidRPr="00753AFD">
              <w:rPr>
                <w:color w:val="000000"/>
                <w:sz w:val="18"/>
                <w:szCs w:val="18"/>
                <w:lang w:val="en-US"/>
              </w:rPr>
              <w:t> </w:t>
            </w:r>
            <w:r w:rsidRPr="00753AFD">
              <w:rPr>
                <w:rStyle w:val="italics"/>
                <w:i/>
                <w:iCs/>
                <w:color w:val="000000"/>
                <w:sz w:val="18"/>
                <w:szCs w:val="18"/>
                <w:lang w:val="en-US"/>
              </w:rPr>
              <w:t>K</w:t>
            </w:r>
            <w:r w:rsidRPr="00753AFD">
              <w:rPr>
                <w:color w:val="000000"/>
                <w:sz w:val="18"/>
                <w:szCs w:val="18"/>
                <w:lang w:val="en-US"/>
              </w:rPr>
              <w:t> </w:t>
            </w:r>
            <w:proofErr w:type="spellStart"/>
            <w:r w:rsidRPr="00753AFD">
              <w:rPr>
                <w:color w:val="000000"/>
                <w:sz w:val="18"/>
                <w:szCs w:val="18"/>
                <w:lang w:val="en-US"/>
              </w:rPr>
              <w:t>în</w:t>
            </w:r>
            <w:proofErr w:type="spellEnd"/>
            <w:r w:rsidRPr="00753AFD">
              <w:rPr>
                <w:color w:val="000000"/>
                <w:sz w:val="18"/>
                <w:szCs w:val="18"/>
                <w:lang w:val="en-US"/>
              </w:rPr>
              <w:t xml:space="preserve"> </w:t>
            </w:r>
            <w:proofErr w:type="spellStart"/>
            <w:r w:rsidRPr="00753AFD">
              <w:rPr>
                <w:color w:val="000000"/>
                <w:sz w:val="18"/>
                <w:szCs w:val="18"/>
                <w:lang w:val="en-US"/>
              </w:rPr>
              <w:t>valori</w:t>
            </w:r>
            <w:proofErr w:type="spellEnd"/>
            <w:r w:rsidRPr="00753AFD">
              <w:rPr>
                <w:color w:val="000000"/>
                <w:sz w:val="18"/>
                <w:szCs w:val="18"/>
                <w:lang w:val="en-US"/>
              </w:rPr>
              <w:t xml:space="preserve"> </w:t>
            </w:r>
            <w:proofErr w:type="spellStart"/>
            <w:r w:rsidRPr="00753AFD">
              <w:rPr>
                <w:color w:val="000000"/>
                <w:sz w:val="18"/>
                <w:szCs w:val="18"/>
                <w:lang w:val="en-US"/>
              </w:rPr>
              <w:t>pozitive</w:t>
            </w:r>
            <w:proofErr w:type="spellEnd"/>
            <w:r w:rsidRPr="00753AFD">
              <w:rPr>
                <w:color w:val="000000"/>
                <w:sz w:val="18"/>
                <w:szCs w:val="18"/>
                <w:lang w:val="en-US"/>
              </w:rPr>
              <w:t xml:space="preserve">, </w:t>
            </w:r>
            <w:proofErr w:type="spellStart"/>
            <w:r w:rsidRPr="00753AFD">
              <w:rPr>
                <w:color w:val="000000"/>
                <w:sz w:val="18"/>
                <w:szCs w:val="18"/>
                <w:lang w:val="en-US"/>
              </w:rPr>
              <w:t>determinat</w:t>
            </w:r>
            <w:proofErr w:type="spellEnd"/>
            <w:r w:rsidRPr="00753AFD">
              <w:rPr>
                <w:color w:val="000000"/>
                <w:sz w:val="18"/>
                <w:szCs w:val="18"/>
                <w:lang w:val="en-US"/>
              </w:rPr>
              <w:t xml:space="preserve"> </w:t>
            </w:r>
            <w:proofErr w:type="spellStart"/>
            <w:r w:rsidRPr="00753AFD">
              <w:rPr>
                <w:color w:val="000000"/>
                <w:sz w:val="18"/>
                <w:szCs w:val="18"/>
                <w:lang w:val="en-US"/>
              </w:rPr>
              <w:t>în</w:t>
            </w:r>
            <w:proofErr w:type="spellEnd"/>
            <w:r w:rsidRPr="00753AFD">
              <w:rPr>
                <w:color w:val="000000"/>
                <w:sz w:val="18"/>
                <w:szCs w:val="18"/>
                <w:lang w:val="en-US"/>
              </w:rPr>
              <w:t xml:space="preserve"> </w:t>
            </w:r>
            <w:proofErr w:type="spellStart"/>
            <w:r w:rsidRPr="00753AFD">
              <w:rPr>
                <w:color w:val="000000"/>
                <w:sz w:val="18"/>
                <w:szCs w:val="18"/>
                <w:lang w:val="en-US"/>
              </w:rPr>
              <w:t>conformitate</w:t>
            </w:r>
            <w:proofErr w:type="spellEnd"/>
            <w:r w:rsidRPr="00753AFD">
              <w:rPr>
                <w:color w:val="000000"/>
                <w:sz w:val="18"/>
                <w:szCs w:val="18"/>
                <w:lang w:val="en-US"/>
              </w:rPr>
              <w:t xml:space="preserve"> cu </w:t>
            </w:r>
            <w:proofErr w:type="spellStart"/>
            <w:r w:rsidRPr="00753AFD">
              <w:rPr>
                <w:color w:val="000000"/>
                <w:sz w:val="18"/>
                <w:szCs w:val="18"/>
                <w:lang w:val="en-US"/>
              </w:rPr>
              <w:t>alineatul</w:t>
            </w:r>
            <w:proofErr w:type="spellEnd"/>
            <w:r w:rsidRPr="00753AFD">
              <w:rPr>
                <w:color w:val="000000"/>
                <w:sz w:val="18"/>
                <w:szCs w:val="18"/>
                <w:lang w:val="en-US"/>
              </w:rPr>
              <w:t xml:space="preserve"> (2);</w:t>
            </w:r>
          </w:p>
          <w:p w14:paraId="1D5DA7B9" w14:textId="77777777" w:rsidR="002D6B17" w:rsidRPr="00753AFD" w:rsidRDefault="002D6B17" w:rsidP="002D6B17">
            <w:pPr>
              <w:shd w:val="clear" w:color="auto" w:fill="FFFFFF"/>
              <w:rPr>
                <w:color w:val="000000"/>
                <w:sz w:val="18"/>
                <w:szCs w:val="18"/>
                <w:lang w:val="en-US"/>
              </w:rPr>
            </w:pPr>
            <w:r w:rsidRPr="00753AFD">
              <w:rPr>
                <w:rStyle w:val="italics"/>
                <w:i/>
                <w:iCs/>
                <w:color w:val="000000"/>
                <w:sz w:val="18"/>
                <w:szCs w:val="18"/>
              </w:rPr>
              <w:t>σ</w:t>
            </w:r>
            <w:r w:rsidRPr="00753AFD">
              <w:rPr>
                <w:color w:val="000000"/>
                <w:sz w:val="18"/>
                <w:szCs w:val="18"/>
                <w:lang w:val="en-US"/>
              </w:rPr>
              <w:t xml:space="preserve"> = </w:t>
            </w:r>
            <w:proofErr w:type="spellStart"/>
            <w:r w:rsidRPr="00753AFD">
              <w:rPr>
                <w:color w:val="000000"/>
                <w:sz w:val="18"/>
                <w:szCs w:val="18"/>
                <w:lang w:val="en-US"/>
              </w:rPr>
              <w:t>volatilitatea</w:t>
            </w:r>
            <w:proofErr w:type="spellEnd"/>
            <w:r w:rsidRPr="00753AFD">
              <w:rPr>
                <w:color w:val="000000"/>
                <w:sz w:val="18"/>
                <w:szCs w:val="18"/>
                <w:lang w:val="en-US"/>
              </w:rPr>
              <w:t xml:space="preserve"> </w:t>
            </w:r>
            <w:proofErr w:type="spellStart"/>
            <w:r w:rsidRPr="00753AFD">
              <w:rPr>
                <w:color w:val="000000"/>
                <w:sz w:val="18"/>
                <w:szCs w:val="18"/>
                <w:lang w:val="en-US"/>
              </w:rPr>
              <w:t>reglementată</w:t>
            </w:r>
            <w:proofErr w:type="spellEnd"/>
            <w:r w:rsidRPr="00753AFD">
              <w:rPr>
                <w:color w:val="000000"/>
                <w:sz w:val="18"/>
                <w:szCs w:val="18"/>
                <w:lang w:val="en-US"/>
              </w:rPr>
              <w:t xml:space="preserve"> a </w:t>
            </w:r>
            <w:proofErr w:type="spellStart"/>
            <w:r w:rsidRPr="00753AFD">
              <w:rPr>
                <w:color w:val="000000"/>
                <w:sz w:val="18"/>
                <w:szCs w:val="18"/>
                <w:lang w:val="en-US"/>
              </w:rPr>
              <w:t>opțiunii</w:t>
            </w:r>
            <w:proofErr w:type="spellEnd"/>
            <w:r w:rsidRPr="00753AFD">
              <w:rPr>
                <w:color w:val="000000"/>
                <w:sz w:val="18"/>
                <w:szCs w:val="18"/>
                <w:lang w:val="en-US"/>
              </w:rPr>
              <w:t xml:space="preserve">, </w:t>
            </w:r>
            <w:proofErr w:type="spellStart"/>
            <w:r w:rsidRPr="00753AFD">
              <w:rPr>
                <w:color w:val="000000"/>
                <w:sz w:val="18"/>
                <w:szCs w:val="18"/>
                <w:lang w:val="en-US"/>
              </w:rPr>
              <w:t>determinată</w:t>
            </w:r>
            <w:proofErr w:type="spellEnd"/>
            <w:r w:rsidRPr="00753AFD">
              <w:rPr>
                <w:color w:val="000000"/>
                <w:sz w:val="18"/>
                <w:szCs w:val="18"/>
                <w:lang w:val="en-US"/>
              </w:rPr>
              <w:t xml:space="preserve"> </w:t>
            </w:r>
            <w:proofErr w:type="spellStart"/>
            <w:r w:rsidRPr="00753AFD">
              <w:rPr>
                <w:color w:val="000000"/>
                <w:sz w:val="18"/>
                <w:szCs w:val="18"/>
                <w:lang w:val="en-US"/>
              </w:rPr>
              <w:t>în</w:t>
            </w:r>
            <w:proofErr w:type="spellEnd"/>
            <w:r w:rsidRPr="00753AFD">
              <w:rPr>
                <w:color w:val="000000"/>
                <w:sz w:val="18"/>
                <w:szCs w:val="18"/>
                <w:lang w:val="en-US"/>
              </w:rPr>
              <w:t xml:space="preserve"> </w:t>
            </w:r>
            <w:proofErr w:type="spellStart"/>
            <w:r w:rsidRPr="00753AFD">
              <w:rPr>
                <w:color w:val="000000"/>
                <w:sz w:val="18"/>
                <w:szCs w:val="18"/>
                <w:lang w:val="en-US"/>
              </w:rPr>
              <w:t>conformitate</w:t>
            </w:r>
            <w:proofErr w:type="spellEnd"/>
            <w:r w:rsidRPr="00753AFD">
              <w:rPr>
                <w:color w:val="000000"/>
                <w:sz w:val="18"/>
                <w:szCs w:val="18"/>
                <w:lang w:val="en-US"/>
              </w:rPr>
              <w:t xml:space="preserve"> cu </w:t>
            </w:r>
            <w:proofErr w:type="spellStart"/>
            <w:r w:rsidRPr="00753AFD">
              <w:rPr>
                <w:color w:val="000000"/>
                <w:sz w:val="18"/>
                <w:szCs w:val="18"/>
                <w:lang w:val="en-US"/>
              </w:rPr>
              <w:t>alineatul</w:t>
            </w:r>
            <w:proofErr w:type="spellEnd"/>
            <w:r w:rsidRPr="00753AFD">
              <w:rPr>
                <w:color w:val="000000"/>
                <w:sz w:val="18"/>
                <w:szCs w:val="18"/>
                <w:lang w:val="en-US"/>
              </w:rPr>
              <w:t xml:space="preserve"> (3).</w:t>
            </w:r>
          </w:p>
          <w:p w14:paraId="4B18F7B2" w14:textId="288C6F53" w:rsidR="002D6B17" w:rsidRPr="00753AFD" w:rsidRDefault="002D6B17" w:rsidP="002D6B17">
            <w:pPr>
              <w:shd w:val="clear" w:color="auto" w:fill="FFFFFF"/>
              <w:rPr>
                <w:color w:val="000000"/>
                <w:sz w:val="18"/>
                <w:szCs w:val="18"/>
                <w:lang w:val="en-US"/>
              </w:rPr>
            </w:pPr>
            <w:r w:rsidRPr="00753AFD">
              <w:rPr>
                <w:rStyle w:val="no-parag"/>
                <w:color w:val="000000"/>
                <w:sz w:val="18"/>
                <w:szCs w:val="18"/>
                <w:lang w:val="en-US"/>
              </w:rPr>
              <w:t>(2)</w:t>
            </w:r>
            <w:r>
              <w:rPr>
                <w:rStyle w:val="no-parag"/>
                <w:color w:val="000000"/>
                <w:sz w:val="18"/>
                <w:szCs w:val="18"/>
                <w:lang w:val="en-US"/>
              </w:rPr>
              <w:t xml:space="preserve"> </w:t>
            </w:r>
            <w:proofErr w:type="spellStart"/>
            <w:r w:rsidRPr="00753AFD">
              <w:rPr>
                <w:color w:val="000000"/>
                <w:sz w:val="18"/>
                <w:szCs w:val="18"/>
                <w:lang w:val="en-US"/>
              </w:rPr>
              <w:t>În</w:t>
            </w:r>
            <w:proofErr w:type="spellEnd"/>
            <w:r w:rsidRPr="00753AFD">
              <w:rPr>
                <w:color w:val="000000"/>
                <w:sz w:val="18"/>
                <w:szCs w:val="18"/>
                <w:lang w:val="en-US"/>
              </w:rPr>
              <w:t xml:space="preserve"> </w:t>
            </w:r>
            <w:proofErr w:type="spellStart"/>
            <w:r w:rsidRPr="00753AFD">
              <w:rPr>
                <w:color w:val="000000"/>
                <w:sz w:val="18"/>
                <w:szCs w:val="18"/>
                <w:lang w:val="en-US"/>
              </w:rPr>
              <w:t>sensul</w:t>
            </w:r>
            <w:proofErr w:type="spellEnd"/>
            <w:r w:rsidRPr="00753AFD">
              <w:rPr>
                <w:color w:val="000000"/>
                <w:sz w:val="18"/>
                <w:szCs w:val="18"/>
                <w:lang w:val="en-US"/>
              </w:rPr>
              <w:t xml:space="preserve"> </w:t>
            </w:r>
            <w:proofErr w:type="spellStart"/>
            <w:r w:rsidRPr="00753AFD">
              <w:rPr>
                <w:color w:val="000000"/>
                <w:sz w:val="18"/>
                <w:szCs w:val="18"/>
                <w:lang w:val="en-US"/>
              </w:rPr>
              <w:t>alineatului</w:t>
            </w:r>
            <w:proofErr w:type="spellEnd"/>
            <w:r w:rsidRPr="00753AFD">
              <w:rPr>
                <w:color w:val="000000"/>
                <w:sz w:val="18"/>
                <w:szCs w:val="18"/>
                <w:lang w:val="en-US"/>
              </w:rPr>
              <w:t xml:space="preserve"> (1), </w:t>
            </w:r>
            <w:proofErr w:type="spellStart"/>
            <w:r w:rsidRPr="00753AFD">
              <w:rPr>
                <w:color w:val="000000"/>
                <w:sz w:val="18"/>
                <w:szCs w:val="18"/>
                <w:lang w:val="en-US"/>
              </w:rPr>
              <w:t>instituțiile</w:t>
            </w:r>
            <w:proofErr w:type="spellEnd"/>
            <w:r w:rsidRPr="00753AFD">
              <w:rPr>
                <w:color w:val="000000"/>
                <w:sz w:val="18"/>
                <w:szCs w:val="18"/>
                <w:lang w:val="en-US"/>
              </w:rPr>
              <w:t xml:space="preserve"> </w:t>
            </w:r>
            <w:proofErr w:type="spellStart"/>
            <w:r w:rsidRPr="00753AFD">
              <w:rPr>
                <w:color w:val="000000"/>
                <w:sz w:val="18"/>
                <w:szCs w:val="18"/>
                <w:lang w:val="en-US"/>
              </w:rPr>
              <w:t>calculează</w:t>
            </w:r>
            <w:proofErr w:type="spellEnd"/>
            <w:r w:rsidRPr="00753AFD">
              <w:rPr>
                <w:color w:val="000000"/>
                <w:sz w:val="18"/>
                <w:szCs w:val="18"/>
                <w:lang w:val="en-US"/>
              </w:rPr>
              <w:t xml:space="preserve"> </w:t>
            </w:r>
            <w:proofErr w:type="spellStart"/>
            <w:r w:rsidRPr="00753AFD">
              <w:rPr>
                <w:color w:val="000000"/>
                <w:sz w:val="18"/>
                <w:szCs w:val="18"/>
                <w:lang w:val="en-US"/>
              </w:rPr>
              <w:t>factorul</w:t>
            </w:r>
            <w:proofErr w:type="spellEnd"/>
            <w:r w:rsidRPr="00753AFD">
              <w:rPr>
                <w:color w:val="000000"/>
                <w:sz w:val="18"/>
                <w:szCs w:val="18"/>
                <w:lang w:val="en-US"/>
              </w:rPr>
              <w:t xml:space="preserve"> de </w:t>
            </w:r>
            <w:proofErr w:type="spellStart"/>
            <w:r w:rsidRPr="00753AFD">
              <w:rPr>
                <w:color w:val="000000"/>
                <w:sz w:val="18"/>
                <w:szCs w:val="18"/>
                <w:lang w:val="en-US"/>
              </w:rPr>
              <w:t>decalare</w:t>
            </w:r>
            <w:proofErr w:type="spellEnd"/>
            <w:r w:rsidRPr="00753AFD">
              <w:rPr>
                <w:color w:val="000000"/>
                <w:sz w:val="18"/>
                <w:szCs w:val="18"/>
                <w:lang w:val="en-US"/>
              </w:rPr>
              <w:t xml:space="preserve"> (</w:t>
            </w:r>
            <w:r w:rsidRPr="00753AFD">
              <w:rPr>
                <w:color w:val="000000"/>
                <w:sz w:val="18"/>
                <w:szCs w:val="18"/>
              </w:rPr>
              <w:t>λ</w:t>
            </w:r>
            <w:r w:rsidRPr="00753AFD">
              <w:rPr>
                <w:color w:val="000000"/>
                <w:sz w:val="18"/>
                <w:szCs w:val="18"/>
                <w:lang w:val="en-US"/>
              </w:rPr>
              <w:t xml:space="preserve">) </w:t>
            </w:r>
            <w:proofErr w:type="spellStart"/>
            <w:r w:rsidRPr="00753AFD">
              <w:rPr>
                <w:color w:val="000000"/>
                <w:sz w:val="18"/>
                <w:szCs w:val="18"/>
                <w:lang w:val="en-US"/>
              </w:rPr>
              <w:t>pentru</w:t>
            </w:r>
            <w:proofErr w:type="spellEnd"/>
            <w:r w:rsidRPr="00753AFD">
              <w:rPr>
                <w:color w:val="000000"/>
                <w:sz w:val="18"/>
                <w:szCs w:val="18"/>
                <w:lang w:val="en-US"/>
              </w:rPr>
              <w:t xml:space="preserve"> </w:t>
            </w:r>
            <w:proofErr w:type="spellStart"/>
            <w:r w:rsidRPr="00753AFD">
              <w:rPr>
                <w:color w:val="000000"/>
                <w:sz w:val="18"/>
                <w:szCs w:val="18"/>
                <w:lang w:val="en-US"/>
              </w:rPr>
              <w:t>orice</w:t>
            </w:r>
            <w:proofErr w:type="spellEnd"/>
            <w:r w:rsidRPr="00753AFD">
              <w:rPr>
                <w:color w:val="000000"/>
                <w:sz w:val="18"/>
                <w:szCs w:val="18"/>
                <w:lang w:val="en-US"/>
              </w:rPr>
              <w:t xml:space="preserve"> </w:t>
            </w:r>
            <w:proofErr w:type="spellStart"/>
            <w:r w:rsidRPr="00753AFD">
              <w:rPr>
                <w:color w:val="000000"/>
                <w:sz w:val="18"/>
                <w:szCs w:val="18"/>
                <w:lang w:val="en-US"/>
              </w:rPr>
              <w:t>opțiune</w:t>
            </w:r>
            <w:proofErr w:type="spellEnd"/>
            <w:r w:rsidRPr="00753AFD">
              <w:rPr>
                <w:color w:val="000000"/>
                <w:sz w:val="18"/>
                <w:szCs w:val="18"/>
                <w:lang w:val="en-US"/>
              </w:rPr>
              <w:t xml:space="preserve"> call </w:t>
            </w:r>
            <w:proofErr w:type="spellStart"/>
            <w:r w:rsidRPr="00753AFD">
              <w:rPr>
                <w:color w:val="000000"/>
                <w:sz w:val="18"/>
                <w:szCs w:val="18"/>
                <w:lang w:val="en-US"/>
              </w:rPr>
              <w:t>și</w:t>
            </w:r>
            <w:proofErr w:type="spellEnd"/>
            <w:r w:rsidRPr="00753AFD">
              <w:rPr>
                <w:color w:val="000000"/>
                <w:sz w:val="18"/>
                <w:szCs w:val="18"/>
                <w:lang w:val="en-US"/>
              </w:rPr>
              <w:t xml:space="preserve"> put </w:t>
            </w:r>
            <w:proofErr w:type="spellStart"/>
            <w:r w:rsidRPr="00753AFD">
              <w:rPr>
                <w:color w:val="000000"/>
                <w:sz w:val="18"/>
                <w:szCs w:val="18"/>
                <w:lang w:val="en-US"/>
              </w:rPr>
              <w:t>după</w:t>
            </w:r>
            <w:proofErr w:type="spellEnd"/>
            <w:r w:rsidRPr="00753AFD">
              <w:rPr>
                <w:color w:val="000000"/>
                <w:sz w:val="18"/>
                <w:szCs w:val="18"/>
                <w:lang w:val="en-US"/>
              </w:rPr>
              <w:t xml:space="preserve"> cum </w:t>
            </w:r>
            <w:proofErr w:type="spellStart"/>
            <w:r w:rsidRPr="00753AFD">
              <w:rPr>
                <w:color w:val="000000"/>
                <w:sz w:val="18"/>
                <w:szCs w:val="18"/>
                <w:lang w:val="en-US"/>
              </w:rPr>
              <w:t>urmează</w:t>
            </w:r>
            <w:proofErr w:type="spellEnd"/>
            <w:r w:rsidRPr="00753AFD">
              <w:rPr>
                <w:color w:val="000000"/>
                <w:sz w:val="18"/>
                <w:szCs w:val="18"/>
                <w:lang w:val="en-US"/>
              </w:rPr>
              <w:t>:</w:t>
            </w:r>
          </w:p>
          <w:p w14:paraId="17E35763" w14:textId="5C24323B" w:rsidR="002D6B17" w:rsidRPr="00753AFD" w:rsidRDefault="002D6B17" w:rsidP="002D6B17">
            <w:pPr>
              <w:pStyle w:val="NormalWeb"/>
              <w:shd w:val="clear" w:color="auto" w:fill="FFFFFF"/>
              <w:spacing w:after="150"/>
              <w:rPr>
                <w:color w:val="000000"/>
                <w:sz w:val="18"/>
                <w:szCs w:val="18"/>
                <w:lang w:val="en-US"/>
              </w:rPr>
            </w:pPr>
            <w:r w:rsidRPr="00442323">
              <w:rPr>
                <w:noProof/>
              </w:rPr>
              <w:drawing>
                <wp:inline distT="0" distB="0" distL="0" distR="0" wp14:anchorId="73A7E8C2" wp14:editId="0B9946D4">
                  <wp:extent cx="1800225" cy="4749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55714" cy="489577"/>
                          </a:xfrm>
                          <a:prstGeom prst="rect">
                            <a:avLst/>
                          </a:prstGeom>
                          <a:noFill/>
                          <a:ln>
                            <a:noFill/>
                          </a:ln>
                        </pic:spPr>
                      </pic:pic>
                    </a:graphicData>
                  </a:graphic>
                </wp:inline>
              </w:drawing>
            </w:r>
          </w:p>
          <w:p w14:paraId="69C9F887" w14:textId="77777777" w:rsidR="002D6B17" w:rsidRPr="00753AFD" w:rsidRDefault="002D6B17" w:rsidP="002D6B17">
            <w:pPr>
              <w:pStyle w:val="norm"/>
              <w:shd w:val="clear" w:color="auto" w:fill="FFFFFF"/>
              <w:rPr>
                <w:color w:val="000000"/>
                <w:sz w:val="18"/>
                <w:szCs w:val="18"/>
              </w:rPr>
            </w:pPr>
            <w:proofErr w:type="spellStart"/>
            <w:r w:rsidRPr="00753AFD">
              <w:rPr>
                <w:color w:val="000000"/>
                <w:sz w:val="18"/>
                <w:szCs w:val="18"/>
              </w:rPr>
              <w:t>unde</w:t>
            </w:r>
            <w:proofErr w:type="spellEnd"/>
            <w:r w:rsidRPr="00753AFD">
              <w:rPr>
                <w:color w:val="000000"/>
                <w:sz w:val="18"/>
                <w:szCs w:val="18"/>
              </w:rPr>
              <w:t>:</w:t>
            </w:r>
          </w:p>
          <w:tbl>
            <w:tblPr>
              <w:tblW w:w="5000" w:type="pct"/>
              <w:tblLayout w:type="fixed"/>
              <w:tblCellMar>
                <w:left w:w="0" w:type="dxa"/>
                <w:right w:w="0" w:type="dxa"/>
              </w:tblCellMar>
              <w:tblLook w:val="04A0" w:firstRow="1" w:lastRow="0" w:firstColumn="1" w:lastColumn="0" w:noHBand="0" w:noVBand="1"/>
            </w:tblPr>
            <w:tblGrid>
              <w:gridCol w:w="130"/>
              <w:gridCol w:w="85"/>
              <w:gridCol w:w="3822"/>
            </w:tblGrid>
            <w:tr w:rsidR="002D6B17" w:rsidRPr="00274BD4" w14:paraId="26F553BD" w14:textId="77777777" w:rsidTr="00753AFD">
              <w:tc>
                <w:tcPr>
                  <w:tcW w:w="277" w:type="dxa"/>
                  <w:hideMark/>
                </w:tcPr>
                <w:p w14:paraId="045035A7" w14:textId="77777777" w:rsidR="002D6B17" w:rsidRPr="00753AFD" w:rsidRDefault="002D6B17" w:rsidP="002D6B17">
                  <w:pPr>
                    <w:pStyle w:val="norm"/>
                    <w:rPr>
                      <w:sz w:val="18"/>
                      <w:szCs w:val="18"/>
                    </w:rPr>
                  </w:pPr>
                  <w:r w:rsidRPr="00753AFD">
                    <w:rPr>
                      <w:rStyle w:val="italics"/>
                      <w:i/>
                      <w:iCs/>
                      <w:sz w:val="18"/>
                      <w:szCs w:val="18"/>
                    </w:rPr>
                    <w:t>P</w:t>
                  </w:r>
                  <w:r w:rsidRPr="00753AFD">
                    <w:rPr>
                      <w:sz w:val="18"/>
                      <w:szCs w:val="18"/>
                    </w:rPr>
                    <w:t> </w:t>
                  </w:r>
                  <w:r w:rsidRPr="00753AFD">
                    <w:rPr>
                      <w:rStyle w:val="italics"/>
                      <w:i/>
                      <w:iCs/>
                      <w:sz w:val="18"/>
                      <w:szCs w:val="18"/>
                      <w:vertAlign w:val="subscript"/>
                    </w:rPr>
                    <w:t>j</w:t>
                  </w:r>
                </w:p>
              </w:tc>
              <w:tc>
                <w:tcPr>
                  <w:tcW w:w="171" w:type="dxa"/>
                  <w:hideMark/>
                </w:tcPr>
                <w:p w14:paraId="1426FCA5" w14:textId="77777777" w:rsidR="002D6B17" w:rsidRPr="00753AFD" w:rsidRDefault="002D6B17" w:rsidP="002D6B17">
                  <w:pPr>
                    <w:pStyle w:val="norm"/>
                    <w:rPr>
                      <w:sz w:val="18"/>
                      <w:szCs w:val="18"/>
                    </w:rPr>
                  </w:pPr>
                  <w:r w:rsidRPr="00753AFD">
                    <w:rPr>
                      <w:sz w:val="18"/>
                      <w:szCs w:val="18"/>
                    </w:rPr>
                    <w:t>=</w:t>
                  </w:r>
                </w:p>
              </w:tc>
              <w:tc>
                <w:tcPr>
                  <w:tcW w:w="8907" w:type="dxa"/>
                  <w:hideMark/>
                </w:tcPr>
                <w:p w14:paraId="36B70987" w14:textId="77777777" w:rsidR="002D6B17" w:rsidRPr="00753AFD" w:rsidRDefault="002D6B17" w:rsidP="002D6B17">
                  <w:pPr>
                    <w:pStyle w:val="norm"/>
                    <w:rPr>
                      <w:sz w:val="18"/>
                      <w:szCs w:val="18"/>
                    </w:rPr>
                  </w:pPr>
                  <w:proofErr w:type="spellStart"/>
                  <w:r w:rsidRPr="00753AFD">
                    <w:rPr>
                      <w:sz w:val="18"/>
                      <w:szCs w:val="18"/>
                    </w:rPr>
                    <w:t>prețul</w:t>
                  </w:r>
                  <w:proofErr w:type="spellEnd"/>
                  <w:r w:rsidRPr="00753AFD">
                    <w:rPr>
                      <w:sz w:val="18"/>
                      <w:szCs w:val="18"/>
                    </w:rPr>
                    <w:t xml:space="preserve"> la </w:t>
                  </w:r>
                  <w:proofErr w:type="spellStart"/>
                  <w:r w:rsidRPr="00753AFD">
                    <w:rPr>
                      <w:sz w:val="18"/>
                      <w:szCs w:val="18"/>
                    </w:rPr>
                    <w:t>vedere</w:t>
                  </w:r>
                  <w:proofErr w:type="spellEnd"/>
                  <w:r w:rsidRPr="00753AFD">
                    <w:rPr>
                      <w:sz w:val="18"/>
                      <w:szCs w:val="18"/>
                    </w:rPr>
                    <w:t xml:space="preserve"> </w:t>
                  </w:r>
                  <w:proofErr w:type="spellStart"/>
                  <w:r w:rsidRPr="00753AFD">
                    <w:rPr>
                      <w:sz w:val="18"/>
                      <w:szCs w:val="18"/>
                    </w:rPr>
                    <w:t>sau</w:t>
                  </w:r>
                  <w:proofErr w:type="spellEnd"/>
                  <w:r w:rsidRPr="00753AFD">
                    <w:rPr>
                      <w:sz w:val="18"/>
                      <w:szCs w:val="18"/>
                    </w:rPr>
                    <w:t xml:space="preserve"> la termen al </w:t>
                  </w:r>
                  <w:proofErr w:type="spellStart"/>
                  <w:r w:rsidRPr="00753AFD">
                    <w:rPr>
                      <w:sz w:val="18"/>
                      <w:szCs w:val="18"/>
                    </w:rPr>
                    <w:t>instrumentului-suport</w:t>
                  </w:r>
                  <w:proofErr w:type="spellEnd"/>
                  <w:r w:rsidRPr="00753AFD">
                    <w:rPr>
                      <w:sz w:val="18"/>
                      <w:szCs w:val="18"/>
                    </w:rPr>
                    <w:t xml:space="preserve"> al </w:t>
                  </w:r>
                  <w:proofErr w:type="spellStart"/>
                  <w:r w:rsidRPr="00753AFD">
                    <w:rPr>
                      <w:sz w:val="18"/>
                      <w:szCs w:val="18"/>
                    </w:rPr>
                    <w:t>opțiunii</w:t>
                  </w:r>
                  <w:proofErr w:type="spellEnd"/>
                  <w:r w:rsidRPr="00753AFD">
                    <w:rPr>
                      <w:sz w:val="18"/>
                      <w:szCs w:val="18"/>
                    </w:rPr>
                    <w:t> </w:t>
                  </w:r>
                  <w:r w:rsidRPr="00753AFD">
                    <w:rPr>
                      <w:rStyle w:val="italics"/>
                      <w:i/>
                      <w:iCs/>
                      <w:sz w:val="18"/>
                      <w:szCs w:val="18"/>
                    </w:rPr>
                    <w:t>j</w:t>
                  </w:r>
                  <w:r w:rsidRPr="00753AFD">
                    <w:rPr>
                      <w:sz w:val="18"/>
                      <w:szCs w:val="18"/>
                    </w:rPr>
                    <w:t>;</w:t>
                  </w:r>
                </w:p>
              </w:tc>
            </w:tr>
          </w:tbl>
          <w:p w14:paraId="2C9A4F61" w14:textId="77777777" w:rsidR="002D6B17" w:rsidRPr="00753AFD" w:rsidRDefault="002D6B17" w:rsidP="002D6B17">
            <w:pPr>
              <w:shd w:val="clear" w:color="auto" w:fill="FFFFFF"/>
              <w:rPr>
                <w:vanish/>
                <w:color w:val="000000"/>
                <w:sz w:val="18"/>
                <w:szCs w:val="18"/>
              </w:rPr>
            </w:pPr>
          </w:p>
          <w:tbl>
            <w:tblPr>
              <w:tblW w:w="5000" w:type="pct"/>
              <w:tblLayout w:type="fixed"/>
              <w:tblCellMar>
                <w:left w:w="0" w:type="dxa"/>
                <w:right w:w="0" w:type="dxa"/>
              </w:tblCellMar>
              <w:tblLook w:val="04A0" w:firstRow="1" w:lastRow="0" w:firstColumn="1" w:lastColumn="0" w:noHBand="0" w:noVBand="1"/>
            </w:tblPr>
            <w:tblGrid>
              <w:gridCol w:w="265"/>
              <w:gridCol w:w="159"/>
              <w:gridCol w:w="3613"/>
            </w:tblGrid>
            <w:tr w:rsidR="002D6B17" w:rsidRPr="00274BD4" w14:paraId="655CB4E7" w14:textId="77777777" w:rsidTr="00753AFD">
              <w:tc>
                <w:tcPr>
                  <w:tcW w:w="591" w:type="dxa"/>
                  <w:hideMark/>
                </w:tcPr>
                <w:p w14:paraId="36E40E49" w14:textId="77777777" w:rsidR="002D6B17" w:rsidRPr="00753AFD" w:rsidRDefault="002D6B17" w:rsidP="002D6B17">
                  <w:pPr>
                    <w:pStyle w:val="norm"/>
                    <w:rPr>
                      <w:sz w:val="18"/>
                      <w:szCs w:val="18"/>
                    </w:rPr>
                  </w:pPr>
                  <w:r w:rsidRPr="00753AFD">
                    <w:rPr>
                      <w:rStyle w:val="italics"/>
                      <w:i/>
                      <w:iCs/>
                      <w:sz w:val="18"/>
                      <w:szCs w:val="18"/>
                    </w:rPr>
                    <w:t>K</w:t>
                  </w:r>
                  <w:r w:rsidRPr="00753AFD">
                    <w:rPr>
                      <w:sz w:val="18"/>
                      <w:szCs w:val="18"/>
                    </w:rPr>
                    <w:t> </w:t>
                  </w:r>
                  <w:r w:rsidRPr="00753AFD">
                    <w:rPr>
                      <w:rStyle w:val="italics"/>
                      <w:i/>
                      <w:iCs/>
                      <w:sz w:val="18"/>
                      <w:szCs w:val="18"/>
                      <w:vertAlign w:val="subscript"/>
                    </w:rPr>
                    <w:t>j</w:t>
                  </w:r>
                </w:p>
              </w:tc>
              <w:tc>
                <w:tcPr>
                  <w:tcW w:w="346" w:type="dxa"/>
                  <w:hideMark/>
                </w:tcPr>
                <w:p w14:paraId="6604DC63" w14:textId="77777777" w:rsidR="002D6B17" w:rsidRPr="00753AFD" w:rsidRDefault="002D6B17" w:rsidP="002D6B17">
                  <w:pPr>
                    <w:pStyle w:val="norm"/>
                    <w:rPr>
                      <w:sz w:val="18"/>
                      <w:szCs w:val="18"/>
                    </w:rPr>
                  </w:pPr>
                  <w:r w:rsidRPr="00753AFD">
                    <w:rPr>
                      <w:sz w:val="18"/>
                      <w:szCs w:val="18"/>
                    </w:rPr>
                    <w:t>=</w:t>
                  </w:r>
                </w:p>
              </w:tc>
              <w:tc>
                <w:tcPr>
                  <w:tcW w:w="8418" w:type="dxa"/>
                  <w:hideMark/>
                </w:tcPr>
                <w:p w14:paraId="6387A1F2" w14:textId="77777777" w:rsidR="002D6B17" w:rsidRPr="00753AFD" w:rsidRDefault="002D6B17" w:rsidP="002D6B17">
                  <w:pPr>
                    <w:pStyle w:val="norm"/>
                    <w:rPr>
                      <w:sz w:val="18"/>
                      <w:szCs w:val="18"/>
                    </w:rPr>
                  </w:pPr>
                  <w:proofErr w:type="spellStart"/>
                  <w:r w:rsidRPr="00753AFD">
                    <w:rPr>
                      <w:sz w:val="18"/>
                      <w:szCs w:val="18"/>
                    </w:rPr>
                    <w:t>prețul</w:t>
                  </w:r>
                  <w:proofErr w:type="spellEnd"/>
                  <w:r w:rsidRPr="00753AFD">
                    <w:rPr>
                      <w:sz w:val="18"/>
                      <w:szCs w:val="18"/>
                    </w:rPr>
                    <w:t xml:space="preserve"> de </w:t>
                  </w:r>
                  <w:proofErr w:type="spellStart"/>
                  <w:r w:rsidRPr="00753AFD">
                    <w:rPr>
                      <w:sz w:val="18"/>
                      <w:szCs w:val="18"/>
                    </w:rPr>
                    <w:t>exercitare</w:t>
                  </w:r>
                  <w:proofErr w:type="spellEnd"/>
                  <w:r w:rsidRPr="00753AFD">
                    <w:rPr>
                      <w:sz w:val="18"/>
                      <w:szCs w:val="18"/>
                    </w:rPr>
                    <w:t xml:space="preserve"> </w:t>
                  </w:r>
                  <w:proofErr w:type="gramStart"/>
                  <w:r w:rsidRPr="00753AFD">
                    <w:rPr>
                      <w:sz w:val="18"/>
                      <w:szCs w:val="18"/>
                    </w:rPr>
                    <w:t>a</w:t>
                  </w:r>
                  <w:proofErr w:type="gramEnd"/>
                  <w:r w:rsidRPr="00753AFD">
                    <w:rPr>
                      <w:sz w:val="18"/>
                      <w:szCs w:val="18"/>
                    </w:rPr>
                    <w:t xml:space="preserve"> </w:t>
                  </w:r>
                  <w:proofErr w:type="spellStart"/>
                  <w:r w:rsidRPr="00753AFD">
                    <w:rPr>
                      <w:sz w:val="18"/>
                      <w:szCs w:val="18"/>
                    </w:rPr>
                    <w:t>opțiunii</w:t>
                  </w:r>
                  <w:proofErr w:type="spellEnd"/>
                  <w:r w:rsidRPr="00753AFD">
                    <w:rPr>
                      <w:sz w:val="18"/>
                      <w:szCs w:val="18"/>
                    </w:rPr>
                    <w:t> </w:t>
                  </w:r>
                  <w:r w:rsidRPr="00753AFD">
                    <w:rPr>
                      <w:rStyle w:val="italics"/>
                      <w:i/>
                      <w:iCs/>
                      <w:sz w:val="18"/>
                      <w:szCs w:val="18"/>
                    </w:rPr>
                    <w:t>j</w:t>
                  </w:r>
                  <w:r w:rsidRPr="00753AFD">
                    <w:rPr>
                      <w:sz w:val="18"/>
                      <w:szCs w:val="18"/>
                    </w:rPr>
                    <w:t>;</w:t>
                  </w:r>
                </w:p>
              </w:tc>
            </w:tr>
          </w:tbl>
          <w:p w14:paraId="5AC7E740" w14:textId="77777777" w:rsidR="002D6B17" w:rsidRPr="00753AFD" w:rsidRDefault="002D6B17" w:rsidP="002D6B17">
            <w:pPr>
              <w:pStyle w:val="NormalWeb"/>
              <w:shd w:val="clear" w:color="auto" w:fill="FFFFFF"/>
              <w:spacing w:after="150"/>
              <w:jc w:val="center"/>
              <w:rPr>
                <w:color w:val="000000"/>
                <w:sz w:val="18"/>
                <w:szCs w:val="18"/>
                <w:lang w:val="en-US"/>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64"/>
              <w:gridCol w:w="2436"/>
            </w:tblGrid>
            <w:tr w:rsidR="002D6B17" w:rsidRPr="00274BD4" w14:paraId="20DFA123" w14:textId="77777777" w:rsidTr="00753AFD">
              <w:trPr>
                <w:jc w:val="center"/>
              </w:trPr>
              <w:tc>
                <w:tcPr>
                  <w:tcW w:w="1164"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908"/>
                    <w:gridCol w:w="241"/>
                  </w:tblGrid>
                  <w:tr w:rsidR="002D6B17" w:rsidRPr="00753AFD" w14:paraId="19542C08" w14:textId="77777777">
                    <w:tc>
                      <w:tcPr>
                        <w:tcW w:w="908" w:type="dxa"/>
                        <w:tcMar>
                          <w:top w:w="0" w:type="dxa"/>
                          <w:left w:w="0" w:type="dxa"/>
                          <w:bottom w:w="0" w:type="dxa"/>
                          <w:right w:w="0" w:type="dxa"/>
                        </w:tcMar>
                        <w:vAlign w:val="center"/>
                        <w:hideMark/>
                      </w:tcPr>
                      <w:p w14:paraId="41FF6023" w14:textId="77777777" w:rsidR="002D6B17" w:rsidRPr="00753AFD" w:rsidRDefault="002D6B17" w:rsidP="002D6B17">
                        <w:pPr>
                          <w:rPr>
                            <w:sz w:val="18"/>
                            <w:szCs w:val="18"/>
                          </w:rPr>
                        </w:pPr>
                        <w:proofErr w:type="spellStart"/>
                        <w:r w:rsidRPr="00753AFD">
                          <w:rPr>
                            <w:rStyle w:val="italics"/>
                            <w:i/>
                            <w:iCs/>
                            <w:sz w:val="18"/>
                            <w:szCs w:val="18"/>
                          </w:rPr>
                          <w:t>pragul</w:t>
                        </w:r>
                        <w:proofErr w:type="spellEnd"/>
                        <w:r w:rsidRPr="00753AFD">
                          <w:rPr>
                            <w:sz w:val="18"/>
                            <w:szCs w:val="18"/>
                          </w:rPr>
                          <w:t> </w:t>
                        </w:r>
                        <w:r w:rsidRPr="00753AFD">
                          <w:rPr>
                            <w:rStyle w:val="italics"/>
                            <w:i/>
                            <w:iCs/>
                            <w:sz w:val="18"/>
                            <w:szCs w:val="18"/>
                            <w:vertAlign w:val="subscript"/>
                          </w:rPr>
                          <w:t>j</w:t>
                        </w:r>
                        <w:r w:rsidRPr="00753AFD">
                          <w:rPr>
                            <w:rStyle w:val="subscript"/>
                            <w:sz w:val="18"/>
                            <w:szCs w:val="18"/>
                            <w:vertAlign w:val="subscript"/>
                          </w:rPr>
                          <w:t> </w:t>
                        </w:r>
                        <w:r w:rsidRPr="00753AFD">
                          <w:rPr>
                            <w:sz w:val="18"/>
                            <w:szCs w:val="18"/>
                          </w:rPr>
                          <w:t>=</w:t>
                        </w:r>
                      </w:p>
                    </w:tc>
                    <w:tc>
                      <w:tcPr>
                        <w:tcW w:w="241" w:type="dxa"/>
                        <w:tcMar>
                          <w:top w:w="0" w:type="dxa"/>
                          <w:left w:w="0" w:type="dxa"/>
                          <w:bottom w:w="0" w:type="dxa"/>
                          <w:right w:w="0" w:type="dxa"/>
                        </w:tcMar>
                        <w:vAlign w:val="center"/>
                        <w:hideMark/>
                      </w:tcPr>
                      <w:p w14:paraId="7D17E90A" w14:textId="255F28AD" w:rsidR="002D6B17" w:rsidRPr="00753AFD" w:rsidRDefault="002D6B17" w:rsidP="002D6B17">
                        <w:pPr>
                          <w:rPr>
                            <w:sz w:val="18"/>
                            <w:szCs w:val="18"/>
                          </w:rPr>
                        </w:pPr>
                        <w:r w:rsidRPr="00753AFD">
                          <w:rPr>
                            <w:noProof/>
                            <w:sz w:val="18"/>
                            <w:szCs w:val="18"/>
                          </w:rPr>
                          <w:drawing>
                            <wp:inline distT="0" distB="0" distL="0" distR="0" wp14:anchorId="23E4584F" wp14:editId="40F8D70F">
                              <wp:extent cx="148590" cy="765810"/>
                              <wp:effectExtent l="0" t="0" r="3810" b="0"/>
                              <wp:docPr id="3" name="Picture 3" descr="left acco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ft accola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 cy="765810"/>
                                      </a:xfrm>
                                      <a:prstGeom prst="rect">
                                        <a:avLst/>
                                      </a:prstGeom>
                                      <a:noFill/>
                                      <a:ln>
                                        <a:noFill/>
                                      </a:ln>
                                    </pic:spPr>
                                  </pic:pic>
                                </a:graphicData>
                              </a:graphic>
                            </wp:inline>
                          </w:drawing>
                        </w:r>
                      </w:p>
                    </w:tc>
                  </w:tr>
                </w:tbl>
                <w:p w14:paraId="4D29EB13" w14:textId="77777777" w:rsidR="002D6B17" w:rsidRPr="00753AFD" w:rsidRDefault="002D6B17" w:rsidP="002D6B17">
                  <w:pPr>
                    <w:rPr>
                      <w:sz w:val="18"/>
                      <w:szCs w:val="18"/>
                    </w:rPr>
                  </w:pPr>
                </w:p>
              </w:tc>
              <w:tc>
                <w:tcPr>
                  <w:tcW w:w="24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2C0C45" w14:textId="77777777" w:rsidR="002D6B17" w:rsidRPr="00753AFD" w:rsidRDefault="002D6B17" w:rsidP="002D6B17">
                  <w:pPr>
                    <w:pStyle w:val="tbl-norm"/>
                    <w:rPr>
                      <w:sz w:val="18"/>
                      <w:szCs w:val="18"/>
                    </w:rPr>
                  </w:pPr>
                  <w:r w:rsidRPr="00753AFD">
                    <w:rPr>
                      <w:sz w:val="18"/>
                      <w:szCs w:val="18"/>
                    </w:rPr>
                    <w:t>0,10 </w:t>
                  </w:r>
                  <w:r w:rsidRPr="00753AFD">
                    <w:rPr>
                      <w:rStyle w:val="italics"/>
                      <w:i/>
                      <w:iCs/>
                      <w:sz w:val="18"/>
                      <w:szCs w:val="18"/>
                    </w:rPr>
                    <w:t>%</w:t>
                  </w:r>
                  <w:r w:rsidRPr="00753AFD">
                    <w:rPr>
                      <w:sz w:val="18"/>
                      <w:szCs w:val="18"/>
                    </w:rPr>
                    <w:t xml:space="preserve">, </w:t>
                  </w:r>
                  <w:proofErr w:type="spellStart"/>
                  <w:r w:rsidRPr="00753AFD">
                    <w:rPr>
                      <w:sz w:val="18"/>
                      <w:szCs w:val="18"/>
                    </w:rPr>
                    <w:t>dacă</w:t>
                  </w:r>
                  <w:proofErr w:type="spellEnd"/>
                  <w:r w:rsidRPr="00753AFD">
                    <w:rPr>
                      <w:sz w:val="18"/>
                      <w:szCs w:val="18"/>
                    </w:rPr>
                    <w:t xml:space="preserve"> </w:t>
                  </w:r>
                  <w:proofErr w:type="spellStart"/>
                  <w:r w:rsidRPr="00753AFD">
                    <w:rPr>
                      <w:sz w:val="18"/>
                      <w:szCs w:val="18"/>
                    </w:rPr>
                    <w:t>opțiunea</w:t>
                  </w:r>
                  <w:proofErr w:type="spellEnd"/>
                  <w:r w:rsidRPr="00753AFD">
                    <w:rPr>
                      <w:sz w:val="18"/>
                      <w:szCs w:val="18"/>
                    </w:rPr>
                    <w:t> </w:t>
                  </w:r>
                  <w:r w:rsidRPr="00753AFD">
                    <w:rPr>
                      <w:rStyle w:val="italics"/>
                      <w:i/>
                      <w:iCs/>
                      <w:sz w:val="18"/>
                      <w:szCs w:val="18"/>
                    </w:rPr>
                    <w:t>j</w:t>
                  </w:r>
                  <w:r w:rsidRPr="00753AFD">
                    <w:rPr>
                      <w:sz w:val="18"/>
                      <w:szCs w:val="18"/>
                    </w:rPr>
                    <w:t> </w:t>
                  </w:r>
                  <w:proofErr w:type="spellStart"/>
                  <w:r w:rsidRPr="00753AFD">
                    <w:rPr>
                      <w:sz w:val="18"/>
                      <w:szCs w:val="18"/>
                    </w:rPr>
                    <w:t>este</w:t>
                  </w:r>
                  <w:proofErr w:type="spellEnd"/>
                  <w:r w:rsidRPr="00753AFD">
                    <w:rPr>
                      <w:sz w:val="18"/>
                      <w:szCs w:val="18"/>
                    </w:rPr>
                    <w:t xml:space="preserve"> </w:t>
                  </w:r>
                  <w:proofErr w:type="spellStart"/>
                  <w:r w:rsidRPr="00753AFD">
                    <w:rPr>
                      <w:sz w:val="18"/>
                      <w:szCs w:val="18"/>
                    </w:rPr>
                    <w:t>încadrată</w:t>
                  </w:r>
                  <w:proofErr w:type="spellEnd"/>
                  <w:r w:rsidRPr="00753AFD">
                    <w:rPr>
                      <w:sz w:val="18"/>
                      <w:szCs w:val="18"/>
                    </w:rPr>
                    <w:t xml:space="preserve"> </w:t>
                  </w:r>
                  <w:proofErr w:type="spellStart"/>
                  <w:r w:rsidRPr="00753AFD">
                    <w:rPr>
                      <w:sz w:val="18"/>
                      <w:szCs w:val="18"/>
                    </w:rPr>
                    <w:t>în</w:t>
                  </w:r>
                  <w:proofErr w:type="spellEnd"/>
                  <w:r w:rsidRPr="00753AFD">
                    <w:rPr>
                      <w:sz w:val="18"/>
                      <w:szCs w:val="18"/>
                    </w:rPr>
                    <w:t xml:space="preserve"> </w:t>
                  </w:r>
                  <w:proofErr w:type="spellStart"/>
                  <w:r w:rsidRPr="00753AFD">
                    <w:rPr>
                      <w:sz w:val="18"/>
                      <w:szCs w:val="18"/>
                    </w:rPr>
                    <w:t>categoria</w:t>
                  </w:r>
                  <w:proofErr w:type="spellEnd"/>
                  <w:r w:rsidRPr="00753AFD">
                    <w:rPr>
                      <w:sz w:val="18"/>
                      <w:szCs w:val="18"/>
                    </w:rPr>
                    <w:t xml:space="preserve"> de </w:t>
                  </w:r>
                  <w:proofErr w:type="spellStart"/>
                  <w:r w:rsidRPr="00753AFD">
                    <w:rPr>
                      <w:sz w:val="18"/>
                      <w:szCs w:val="18"/>
                    </w:rPr>
                    <w:t>risc</w:t>
                  </w:r>
                  <w:proofErr w:type="spellEnd"/>
                  <w:r w:rsidRPr="00753AFD">
                    <w:rPr>
                      <w:sz w:val="18"/>
                      <w:szCs w:val="18"/>
                    </w:rPr>
                    <w:t xml:space="preserve"> de </w:t>
                  </w:r>
                  <w:proofErr w:type="spellStart"/>
                  <w:r w:rsidRPr="00753AFD">
                    <w:rPr>
                      <w:sz w:val="18"/>
                      <w:szCs w:val="18"/>
                    </w:rPr>
                    <w:t>rată</w:t>
                  </w:r>
                  <w:proofErr w:type="spellEnd"/>
                  <w:r w:rsidRPr="00753AFD">
                    <w:rPr>
                      <w:sz w:val="18"/>
                      <w:szCs w:val="18"/>
                    </w:rPr>
                    <w:t xml:space="preserve"> a </w:t>
                  </w:r>
                  <w:proofErr w:type="spellStart"/>
                  <w:r w:rsidRPr="00753AFD">
                    <w:rPr>
                      <w:sz w:val="18"/>
                      <w:szCs w:val="18"/>
                    </w:rPr>
                    <w:t>dobânzii</w:t>
                  </w:r>
                  <w:proofErr w:type="spellEnd"/>
                  <w:r w:rsidRPr="00753AFD">
                    <w:rPr>
                      <w:sz w:val="18"/>
                      <w:szCs w:val="18"/>
                    </w:rPr>
                    <w:t>;</w:t>
                  </w:r>
                </w:p>
              </w:tc>
            </w:tr>
            <w:tr w:rsidR="002D6B17" w:rsidRPr="00274BD4" w14:paraId="1E54D2E1" w14:textId="77777777" w:rsidTr="00753AFD">
              <w:trPr>
                <w:jc w:val="center"/>
              </w:trPr>
              <w:tc>
                <w:tcPr>
                  <w:tcW w:w="1164" w:type="dxa"/>
                  <w:vMerge/>
                  <w:tcBorders>
                    <w:top w:val="outset" w:sz="6" w:space="0" w:color="auto"/>
                    <w:left w:val="outset" w:sz="6" w:space="0" w:color="auto"/>
                    <w:bottom w:val="outset" w:sz="6" w:space="0" w:color="auto"/>
                    <w:right w:val="outset" w:sz="6" w:space="0" w:color="auto"/>
                  </w:tcBorders>
                  <w:vAlign w:val="center"/>
                  <w:hideMark/>
                </w:tcPr>
                <w:p w14:paraId="3E358F09" w14:textId="77777777" w:rsidR="002D6B17" w:rsidRPr="00753AFD" w:rsidRDefault="002D6B17" w:rsidP="002D6B17">
                  <w:pPr>
                    <w:rPr>
                      <w:sz w:val="18"/>
                      <w:szCs w:val="18"/>
                      <w:lang w:val="en-US"/>
                    </w:rPr>
                  </w:pPr>
                </w:p>
              </w:tc>
              <w:tc>
                <w:tcPr>
                  <w:tcW w:w="24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BD2583" w14:textId="77777777" w:rsidR="002D6B17" w:rsidRPr="00753AFD" w:rsidRDefault="002D6B17" w:rsidP="002D6B17">
                  <w:pPr>
                    <w:pStyle w:val="tbl-norm"/>
                    <w:rPr>
                      <w:sz w:val="18"/>
                      <w:szCs w:val="18"/>
                    </w:rPr>
                  </w:pPr>
                  <w:r w:rsidRPr="00753AFD">
                    <w:rPr>
                      <w:sz w:val="18"/>
                      <w:szCs w:val="18"/>
                    </w:rPr>
                    <w:t xml:space="preserve">0,1, </w:t>
                  </w:r>
                  <w:proofErr w:type="spellStart"/>
                  <w:r w:rsidRPr="00753AFD">
                    <w:rPr>
                      <w:sz w:val="18"/>
                      <w:szCs w:val="18"/>
                    </w:rPr>
                    <w:t>dacă</w:t>
                  </w:r>
                  <w:proofErr w:type="spellEnd"/>
                  <w:r w:rsidRPr="00753AFD">
                    <w:rPr>
                      <w:sz w:val="18"/>
                      <w:szCs w:val="18"/>
                    </w:rPr>
                    <w:t xml:space="preserve"> </w:t>
                  </w:r>
                  <w:proofErr w:type="spellStart"/>
                  <w:r w:rsidRPr="00753AFD">
                    <w:rPr>
                      <w:sz w:val="18"/>
                      <w:szCs w:val="18"/>
                    </w:rPr>
                    <w:t>opțiunea</w:t>
                  </w:r>
                  <w:proofErr w:type="spellEnd"/>
                  <w:r w:rsidRPr="00753AFD">
                    <w:rPr>
                      <w:sz w:val="18"/>
                      <w:szCs w:val="18"/>
                    </w:rPr>
                    <w:t> </w:t>
                  </w:r>
                  <w:r w:rsidRPr="00753AFD">
                    <w:rPr>
                      <w:rStyle w:val="italics"/>
                      <w:i/>
                      <w:iCs/>
                      <w:sz w:val="18"/>
                      <w:szCs w:val="18"/>
                    </w:rPr>
                    <w:t>j</w:t>
                  </w:r>
                  <w:r w:rsidRPr="00753AFD">
                    <w:rPr>
                      <w:sz w:val="18"/>
                      <w:szCs w:val="18"/>
                    </w:rPr>
                    <w:t> </w:t>
                  </w:r>
                  <w:proofErr w:type="spellStart"/>
                  <w:r w:rsidRPr="00753AFD">
                    <w:rPr>
                      <w:sz w:val="18"/>
                      <w:szCs w:val="18"/>
                    </w:rPr>
                    <w:t>este</w:t>
                  </w:r>
                  <w:proofErr w:type="spellEnd"/>
                  <w:r w:rsidRPr="00753AFD">
                    <w:rPr>
                      <w:sz w:val="18"/>
                      <w:szCs w:val="18"/>
                    </w:rPr>
                    <w:t xml:space="preserve"> </w:t>
                  </w:r>
                  <w:proofErr w:type="spellStart"/>
                  <w:r w:rsidRPr="00753AFD">
                    <w:rPr>
                      <w:sz w:val="18"/>
                      <w:szCs w:val="18"/>
                    </w:rPr>
                    <w:t>încadrată</w:t>
                  </w:r>
                  <w:proofErr w:type="spellEnd"/>
                  <w:r w:rsidRPr="00753AFD">
                    <w:rPr>
                      <w:sz w:val="18"/>
                      <w:szCs w:val="18"/>
                    </w:rPr>
                    <w:t xml:space="preserve"> </w:t>
                  </w:r>
                  <w:proofErr w:type="spellStart"/>
                  <w:r w:rsidRPr="00753AFD">
                    <w:rPr>
                      <w:sz w:val="18"/>
                      <w:szCs w:val="18"/>
                    </w:rPr>
                    <w:t>în</w:t>
                  </w:r>
                  <w:proofErr w:type="spellEnd"/>
                  <w:r w:rsidRPr="00753AFD">
                    <w:rPr>
                      <w:sz w:val="18"/>
                      <w:szCs w:val="18"/>
                    </w:rPr>
                    <w:t xml:space="preserve"> </w:t>
                  </w:r>
                  <w:proofErr w:type="spellStart"/>
                  <w:r w:rsidRPr="00753AFD">
                    <w:rPr>
                      <w:sz w:val="18"/>
                      <w:szCs w:val="18"/>
                    </w:rPr>
                    <w:t>categoria</w:t>
                  </w:r>
                  <w:proofErr w:type="spellEnd"/>
                  <w:r w:rsidRPr="00753AFD">
                    <w:rPr>
                      <w:sz w:val="18"/>
                      <w:szCs w:val="18"/>
                    </w:rPr>
                    <w:t xml:space="preserve"> de </w:t>
                  </w:r>
                  <w:proofErr w:type="spellStart"/>
                  <w:r w:rsidRPr="00753AFD">
                    <w:rPr>
                      <w:sz w:val="18"/>
                      <w:szCs w:val="18"/>
                    </w:rPr>
                    <w:t>risc</w:t>
                  </w:r>
                  <w:proofErr w:type="spellEnd"/>
                  <w:r w:rsidRPr="00753AFD">
                    <w:rPr>
                      <w:sz w:val="18"/>
                      <w:szCs w:val="18"/>
                    </w:rPr>
                    <w:t xml:space="preserve"> de </w:t>
                  </w:r>
                  <w:proofErr w:type="spellStart"/>
                  <w:r w:rsidRPr="00753AFD">
                    <w:rPr>
                      <w:sz w:val="18"/>
                      <w:szCs w:val="18"/>
                    </w:rPr>
                    <w:t>marfă</w:t>
                  </w:r>
                  <w:proofErr w:type="spellEnd"/>
                  <w:r w:rsidRPr="00753AFD">
                    <w:rPr>
                      <w:sz w:val="18"/>
                      <w:szCs w:val="18"/>
                    </w:rPr>
                    <w:t>.</w:t>
                  </w:r>
                </w:p>
              </w:tc>
            </w:tr>
          </w:tbl>
          <w:p w14:paraId="688EF49A" w14:textId="0E048D77" w:rsidR="002D6B17" w:rsidRPr="00753AFD" w:rsidRDefault="002D6B17" w:rsidP="002D6B17">
            <w:pPr>
              <w:shd w:val="clear" w:color="auto" w:fill="FFFFFF"/>
              <w:rPr>
                <w:color w:val="000000"/>
                <w:sz w:val="18"/>
                <w:szCs w:val="18"/>
                <w:lang w:val="en-US"/>
              </w:rPr>
            </w:pPr>
            <w:r w:rsidRPr="00753AFD">
              <w:rPr>
                <w:rStyle w:val="no-parag"/>
                <w:color w:val="000000"/>
                <w:sz w:val="18"/>
                <w:szCs w:val="18"/>
                <w:lang w:val="en-US"/>
              </w:rPr>
              <w:t>(3)  </w:t>
            </w:r>
            <w:r w:rsidRPr="00753AFD">
              <w:rPr>
                <w:color w:val="000000"/>
                <w:sz w:val="18"/>
                <w:szCs w:val="18"/>
                <w:lang w:val="en-US"/>
              </w:rPr>
              <w:t> </w:t>
            </w:r>
            <w:proofErr w:type="spellStart"/>
            <w:r w:rsidRPr="00753AFD">
              <w:rPr>
                <w:color w:val="000000"/>
                <w:sz w:val="18"/>
                <w:szCs w:val="18"/>
                <w:lang w:val="en-US"/>
              </w:rPr>
              <w:t>În</w:t>
            </w:r>
            <w:proofErr w:type="spellEnd"/>
            <w:r w:rsidRPr="00753AFD">
              <w:rPr>
                <w:color w:val="000000"/>
                <w:sz w:val="18"/>
                <w:szCs w:val="18"/>
                <w:lang w:val="en-US"/>
              </w:rPr>
              <w:t xml:space="preserve"> </w:t>
            </w:r>
            <w:proofErr w:type="spellStart"/>
            <w:r w:rsidRPr="00753AFD">
              <w:rPr>
                <w:color w:val="000000"/>
                <w:sz w:val="18"/>
                <w:szCs w:val="18"/>
                <w:lang w:val="en-US"/>
              </w:rPr>
              <w:t>sensul</w:t>
            </w:r>
            <w:proofErr w:type="spellEnd"/>
            <w:r w:rsidRPr="00753AFD">
              <w:rPr>
                <w:color w:val="000000"/>
                <w:sz w:val="18"/>
                <w:szCs w:val="18"/>
                <w:lang w:val="en-US"/>
              </w:rPr>
              <w:t xml:space="preserve"> </w:t>
            </w:r>
            <w:proofErr w:type="spellStart"/>
            <w:r w:rsidRPr="00753AFD">
              <w:rPr>
                <w:color w:val="000000"/>
                <w:sz w:val="18"/>
                <w:szCs w:val="18"/>
                <w:lang w:val="en-US"/>
              </w:rPr>
              <w:t>alineatului</w:t>
            </w:r>
            <w:proofErr w:type="spellEnd"/>
            <w:r w:rsidRPr="00753AFD">
              <w:rPr>
                <w:color w:val="000000"/>
                <w:sz w:val="18"/>
                <w:szCs w:val="18"/>
                <w:lang w:val="en-US"/>
              </w:rPr>
              <w:t xml:space="preserve"> (1), </w:t>
            </w:r>
            <w:proofErr w:type="spellStart"/>
            <w:r w:rsidRPr="00753AFD">
              <w:rPr>
                <w:color w:val="000000"/>
                <w:sz w:val="18"/>
                <w:szCs w:val="18"/>
                <w:lang w:val="en-US"/>
              </w:rPr>
              <w:t>instituțiile</w:t>
            </w:r>
            <w:proofErr w:type="spellEnd"/>
            <w:r w:rsidRPr="00753AFD">
              <w:rPr>
                <w:color w:val="000000"/>
                <w:sz w:val="18"/>
                <w:szCs w:val="18"/>
                <w:lang w:val="en-US"/>
              </w:rPr>
              <w:t xml:space="preserve"> </w:t>
            </w:r>
            <w:proofErr w:type="spellStart"/>
            <w:r w:rsidRPr="00753AFD">
              <w:rPr>
                <w:color w:val="000000"/>
                <w:sz w:val="18"/>
                <w:szCs w:val="18"/>
                <w:lang w:val="en-US"/>
              </w:rPr>
              <w:t>determină</w:t>
            </w:r>
            <w:proofErr w:type="spellEnd"/>
            <w:r w:rsidRPr="00753AFD">
              <w:rPr>
                <w:color w:val="000000"/>
                <w:sz w:val="18"/>
                <w:szCs w:val="18"/>
                <w:lang w:val="en-US"/>
              </w:rPr>
              <w:t xml:space="preserve"> </w:t>
            </w:r>
            <w:proofErr w:type="spellStart"/>
            <w:r w:rsidRPr="00753AFD">
              <w:rPr>
                <w:color w:val="000000"/>
                <w:sz w:val="18"/>
                <w:szCs w:val="18"/>
                <w:lang w:val="en-US"/>
              </w:rPr>
              <w:t>volatilitatea</w:t>
            </w:r>
            <w:proofErr w:type="spellEnd"/>
            <w:r w:rsidRPr="00753AFD">
              <w:rPr>
                <w:color w:val="000000"/>
                <w:sz w:val="18"/>
                <w:szCs w:val="18"/>
                <w:lang w:val="en-US"/>
              </w:rPr>
              <w:t xml:space="preserve"> </w:t>
            </w:r>
            <w:proofErr w:type="spellStart"/>
            <w:r w:rsidRPr="00753AFD">
              <w:rPr>
                <w:color w:val="000000"/>
                <w:sz w:val="18"/>
                <w:szCs w:val="18"/>
                <w:lang w:val="en-US"/>
              </w:rPr>
              <w:t>reglementată</w:t>
            </w:r>
            <w:proofErr w:type="spellEnd"/>
            <w:r w:rsidRPr="00753AFD">
              <w:rPr>
                <w:color w:val="000000"/>
                <w:sz w:val="18"/>
                <w:szCs w:val="18"/>
                <w:lang w:val="en-US"/>
              </w:rPr>
              <w:t xml:space="preserve"> </w:t>
            </w:r>
            <w:proofErr w:type="gramStart"/>
            <w:r w:rsidRPr="00753AFD">
              <w:rPr>
                <w:color w:val="000000"/>
                <w:sz w:val="18"/>
                <w:szCs w:val="18"/>
                <w:lang w:val="en-US"/>
              </w:rPr>
              <w:t>a</w:t>
            </w:r>
            <w:proofErr w:type="gramEnd"/>
            <w:r w:rsidRPr="00753AFD">
              <w:rPr>
                <w:color w:val="000000"/>
                <w:sz w:val="18"/>
                <w:szCs w:val="18"/>
                <w:lang w:val="en-US"/>
              </w:rPr>
              <w:t xml:space="preserve"> </w:t>
            </w:r>
            <w:proofErr w:type="spellStart"/>
            <w:r w:rsidRPr="00753AFD">
              <w:rPr>
                <w:color w:val="000000"/>
                <w:sz w:val="18"/>
                <w:szCs w:val="18"/>
                <w:lang w:val="en-US"/>
              </w:rPr>
              <w:t>opțiunii</w:t>
            </w:r>
            <w:proofErr w:type="spellEnd"/>
            <w:r w:rsidRPr="00753AFD">
              <w:rPr>
                <w:color w:val="000000"/>
                <w:sz w:val="18"/>
                <w:szCs w:val="18"/>
                <w:lang w:val="en-US"/>
              </w:rPr>
              <w:t xml:space="preserve"> pe </w:t>
            </w:r>
            <w:proofErr w:type="spellStart"/>
            <w:r w:rsidRPr="00753AFD">
              <w:rPr>
                <w:color w:val="000000"/>
                <w:sz w:val="18"/>
                <w:szCs w:val="18"/>
                <w:lang w:val="en-US"/>
              </w:rPr>
              <w:t>baza</w:t>
            </w:r>
            <w:proofErr w:type="spellEnd"/>
            <w:r w:rsidRPr="00753AFD">
              <w:rPr>
                <w:color w:val="000000"/>
                <w:sz w:val="18"/>
                <w:szCs w:val="18"/>
                <w:lang w:val="en-US"/>
              </w:rPr>
              <w:t xml:space="preserve"> </w:t>
            </w:r>
            <w:proofErr w:type="spellStart"/>
            <w:r w:rsidRPr="00753AFD">
              <w:rPr>
                <w:color w:val="000000"/>
                <w:sz w:val="18"/>
                <w:szCs w:val="18"/>
                <w:lang w:val="en-US"/>
              </w:rPr>
              <w:t>categoriei</w:t>
            </w:r>
            <w:proofErr w:type="spellEnd"/>
            <w:r w:rsidRPr="00753AFD">
              <w:rPr>
                <w:color w:val="000000"/>
                <w:sz w:val="18"/>
                <w:szCs w:val="18"/>
                <w:lang w:val="en-US"/>
              </w:rPr>
              <w:t xml:space="preserve"> de </w:t>
            </w:r>
            <w:proofErr w:type="spellStart"/>
            <w:r w:rsidRPr="00753AFD">
              <w:rPr>
                <w:color w:val="000000"/>
                <w:sz w:val="18"/>
                <w:szCs w:val="18"/>
                <w:lang w:val="en-US"/>
              </w:rPr>
              <w:t>risc</w:t>
            </w:r>
            <w:proofErr w:type="spellEnd"/>
            <w:r w:rsidRPr="00753AFD">
              <w:rPr>
                <w:color w:val="000000"/>
                <w:sz w:val="18"/>
                <w:szCs w:val="18"/>
                <w:lang w:val="en-US"/>
              </w:rPr>
              <w:t xml:space="preserve"> a </w:t>
            </w:r>
            <w:proofErr w:type="spellStart"/>
            <w:r w:rsidRPr="00753AFD">
              <w:rPr>
                <w:color w:val="000000"/>
                <w:sz w:val="18"/>
                <w:szCs w:val="18"/>
                <w:lang w:val="en-US"/>
              </w:rPr>
              <w:t>tranzacției</w:t>
            </w:r>
            <w:proofErr w:type="spellEnd"/>
            <w:r w:rsidRPr="00753AFD">
              <w:rPr>
                <w:color w:val="000000"/>
                <w:sz w:val="18"/>
                <w:szCs w:val="18"/>
                <w:lang w:val="en-US"/>
              </w:rPr>
              <w:t xml:space="preserve"> </w:t>
            </w:r>
            <w:proofErr w:type="spellStart"/>
            <w:r w:rsidRPr="00753AFD">
              <w:rPr>
                <w:color w:val="000000"/>
                <w:sz w:val="18"/>
                <w:szCs w:val="18"/>
                <w:lang w:val="en-US"/>
              </w:rPr>
              <w:t>și</w:t>
            </w:r>
            <w:proofErr w:type="spellEnd"/>
            <w:r w:rsidRPr="00753AFD">
              <w:rPr>
                <w:color w:val="000000"/>
                <w:sz w:val="18"/>
                <w:szCs w:val="18"/>
                <w:lang w:val="en-US"/>
              </w:rPr>
              <w:t xml:space="preserve"> a </w:t>
            </w:r>
            <w:proofErr w:type="spellStart"/>
            <w:r w:rsidRPr="00753AFD">
              <w:rPr>
                <w:color w:val="000000"/>
                <w:sz w:val="18"/>
                <w:szCs w:val="18"/>
                <w:lang w:val="en-US"/>
              </w:rPr>
              <w:t>naturii</w:t>
            </w:r>
            <w:proofErr w:type="spellEnd"/>
            <w:r w:rsidRPr="00753AFD">
              <w:rPr>
                <w:color w:val="000000"/>
                <w:sz w:val="18"/>
                <w:szCs w:val="18"/>
                <w:lang w:val="en-US"/>
              </w:rPr>
              <w:t xml:space="preserve"> </w:t>
            </w:r>
            <w:proofErr w:type="spellStart"/>
            <w:r w:rsidRPr="00753AFD">
              <w:rPr>
                <w:color w:val="000000"/>
                <w:sz w:val="18"/>
                <w:szCs w:val="18"/>
                <w:lang w:val="en-US"/>
              </w:rPr>
              <w:t>instrumentului-suport</w:t>
            </w:r>
            <w:proofErr w:type="spellEnd"/>
            <w:r w:rsidRPr="00753AFD">
              <w:rPr>
                <w:color w:val="000000"/>
                <w:sz w:val="18"/>
                <w:szCs w:val="18"/>
                <w:lang w:val="en-US"/>
              </w:rPr>
              <w:t xml:space="preserve"> al </w:t>
            </w:r>
            <w:proofErr w:type="spellStart"/>
            <w:r w:rsidRPr="00753AFD">
              <w:rPr>
                <w:color w:val="000000"/>
                <w:sz w:val="18"/>
                <w:szCs w:val="18"/>
                <w:lang w:val="en-US"/>
              </w:rPr>
              <w:t>opțiunii</w:t>
            </w:r>
            <w:proofErr w:type="spellEnd"/>
            <w:r w:rsidRPr="00753AFD">
              <w:rPr>
                <w:color w:val="000000"/>
                <w:sz w:val="18"/>
                <w:szCs w:val="18"/>
                <w:lang w:val="en-US"/>
              </w:rPr>
              <w:t xml:space="preserve"> </w:t>
            </w:r>
            <w:proofErr w:type="spellStart"/>
            <w:r w:rsidRPr="00753AFD">
              <w:rPr>
                <w:color w:val="000000"/>
                <w:sz w:val="18"/>
                <w:szCs w:val="18"/>
                <w:lang w:val="en-US"/>
              </w:rPr>
              <w:t>în</w:t>
            </w:r>
            <w:proofErr w:type="spellEnd"/>
            <w:r w:rsidRPr="00753AFD">
              <w:rPr>
                <w:color w:val="000000"/>
                <w:sz w:val="18"/>
                <w:szCs w:val="18"/>
                <w:lang w:val="en-US"/>
              </w:rPr>
              <w:t xml:space="preserve"> </w:t>
            </w:r>
            <w:proofErr w:type="spellStart"/>
            <w:r w:rsidRPr="00753AFD">
              <w:rPr>
                <w:color w:val="000000"/>
                <w:sz w:val="18"/>
                <w:szCs w:val="18"/>
                <w:lang w:val="en-US"/>
              </w:rPr>
              <w:t>conformitate</w:t>
            </w:r>
            <w:proofErr w:type="spellEnd"/>
            <w:r w:rsidRPr="00753AFD">
              <w:rPr>
                <w:color w:val="000000"/>
                <w:sz w:val="18"/>
                <w:szCs w:val="18"/>
                <w:lang w:val="en-US"/>
              </w:rPr>
              <w:t xml:space="preserve"> cu </w:t>
            </w:r>
            <w:proofErr w:type="spellStart"/>
            <w:r w:rsidRPr="00753AFD">
              <w:rPr>
                <w:color w:val="000000"/>
                <w:sz w:val="18"/>
                <w:szCs w:val="18"/>
                <w:lang w:val="en-US"/>
              </w:rPr>
              <w:t>tabelul</w:t>
            </w:r>
            <w:proofErr w:type="spellEnd"/>
            <w:r w:rsidRPr="00753AFD">
              <w:rPr>
                <w:color w:val="000000"/>
                <w:sz w:val="18"/>
                <w:szCs w:val="18"/>
                <w:lang w:val="en-US"/>
              </w:rPr>
              <w:t xml:space="preserve"> </w:t>
            </w:r>
            <w:proofErr w:type="spellStart"/>
            <w:r w:rsidRPr="00753AFD">
              <w:rPr>
                <w:color w:val="000000"/>
                <w:sz w:val="18"/>
                <w:szCs w:val="18"/>
                <w:lang w:val="en-US"/>
              </w:rPr>
              <w:t>următor</w:t>
            </w:r>
            <w:proofErr w:type="spellEnd"/>
            <w:r w:rsidRPr="00753AFD">
              <w:rPr>
                <w:color w:val="000000"/>
                <w:sz w:val="18"/>
                <w:szCs w:val="18"/>
                <w:lang w:val="en-US"/>
              </w:rPr>
              <w:t>:</w:t>
            </w:r>
          </w:p>
          <w:p w14:paraId="4D1176EC" w14:textId="77777777" w:rsidR="002D6B17" w:rsidRPr="00753AFD" w:rsidRDefault="002D6B17" w:rsidP="002D6B17">
            <w:pPr>
              <w:pStyle w:val="title-table"/>
              <w:shd w:val="clear" w:color="auto" w:fill="FFFFFF"/>
              <w:rPr>
                <w:color w:val="000000"/>
                <w:sz w:val="18"/>
                <w:szCs w:val="18"/>
              </w:rPr>
            </w:pPr>
            <w:proofErr w:type="gramStart"/>
            <w:r w:rsidRPr="00753AFD">
              <w:rPr>
                <w:rStyle w:val="italics"/>
                <w:b w:val="0"/>
                <w:bCs w:val="0"/>
                <w:i/>
                <w:iCs/>
                <w:color w:val="000000"/>
                <w:sz w:val="18"/>
                <w:szCs w:val="18"/>
              </w:rPr>
              <w:t>Tabel</w:t>
            </w:r>
            <w:proofErr w:type="gramEnd"/>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34"/>
              <w:gridCol w:w="1363"/>
              <w:gridCol w:w="1303"/>
            </w:tblGrid>
            <w:tr w:rsidR="002D6B17" w:rsidRPr="00753AFD" w14:paraId="6E82B69F" w14:textId="77777777" w:rsidTr="00753AFD">
              <w:trPr>
                <w:jc w:val="center"/>
              </w:trPr>
              <w:tc>
                <w:tcPr>
                  <w:tcW w:w="10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0C29F4" w14:textId="77777777" w:rsidR="002D6B17" w:rsidRPr="00753AFD" w:rsidRDefault="002D6B17" w:rsidP="002D6B17">
                  <w:pPr>
                    <w:pStyle w:val="tbl-norm"/>
                    <w:rPr>
                      <w:b/>
                      <w:bCs/>
                      <w:sz w:val="18"/>
                      <w:szCs w:val="18"/>
                    </w:rPr>
                  </w:pPr>
                  <w:proofErr w:type="spellStart"/>
                  <w:r w:rsidRPr="00753AFD">
                    <w:rPr>
                      <w:b/>
                      <w:bCs/>
                      <w:sz w:val="18"/>
                      <w:szCs w:val="18"/>
                    </w:rPr>
                    <w:t>Categorie</w:t>
                  </w:r>
                  <w:proofErr w:type="spellEnd"/>
                  <w:r w:rsidRPr="00753AFD">
                    <w:rPr>
                      <w:b/>
                      <w:bCs/>
                      <w:sz w:val="18"/>
                      <w:szCs w:val="18"/>
                    </w:rPr>
                    <w:t xml:space="preserve"> de </w:t>
                  </w:r>
                  <w:proofErr w:type="spellStart"/>
                  <w:r w:rsidRPr="00753AFD">
                    <w:rPr>
                      <w:b/>
                      <w:bCs/>
                      <w:sz w:val="18"/>
                      <w:szCs w:val="18"/>
                    </w:rPr>
                    <w:t>risc</w:t>
                  </w:r>
                  <w:proofErr w:type="spellEnd"/>
                </w:p>
              </w:tc>
              <w:tc>
                <w:tcPr>
                  <w:tcW w:w="15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B256E6" w14:textId="77777777" w:rsidR="002D6B17" w:rsidRPr="00753AFD" w:rsidRDefault="002D6B17" w:rsidP="002D6B17">
                  <w:pPr>
                    <w:pStyle w:val="tbl-norm"/>
                    <w:rPr>
                      <w:b/>
                      <w:bCs/>
                      <w:sz w:val="18"/>
                      <w:szCs w:val="18"/>
                    </w:rPr>
                  </w:pPr>
                  <w:proofErr w:type="spellStart"/>
                  <w:r w:rsidRPr="00753AFD">
                    <w:rPr>
                      <w:b/>
                      <w:bCs/>
                      <w:sz w:val="18"/>
                      <w:szCs w:val="18"/>
                    </w:rPr>
                    <w:t>Instrumentul-suport</w:t>
                  </w:r>
                  <w:proofErr w:type="spellEnd"/>
                </w:p>
              </w:tc>
              <w:tc>
                <w:tcPr>
                  <w:tcW w:w="14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BC868E" w14:textId="77777777" w:rsidR="002D6B17" w:rsidRPr="00753AFD" w:rsidRDefault="002D6B17" w:rsidP="002D6B17">
                  <w:pPr>
                    <w:pStyle w:val="tbl-norm"/>
                    <w:rPr>
                      <w:b/>
                      <w:bCs/>
                      <w:sz w:val="18"/>
                      <w:szCs w:val="18"/>
                    </w:rPr>
                  </w:pPr>
                  <w:proofErr w:type="spellStart"/>
                  <w:r w:rsidRPr="00753AFD">
                    <w:rPr>
                      <w:b/>
                      <w:bCs/>
                      <w:sz w:val="18"/>
                      <w:szCs w:val="18"/>
                    </w:rPr>
                    <w:t>Volatilitatea</w:t>
                  </w:r>
                  <w:proofErr w:type="spellEnd"/>
                  <w:r w:rsidRPr="00753AFD">
                    <w:rPr>
                      <w:b/>
                      <w:bCs/>
                      <w:sz w:val="18"/>
                      <w:szCs w:val="18"/>
                    </w:rPr>
                    <w:t xml:space="preserve"> </w:t>
                  </w:r>
                  <w:proofErr w:type="spellStart"/>
                  <w:r w:rsidRPr="00753AFD">
                    <w:rPr>
                      <w:b/>
                      <w:bCs/>
                      <w:sz w:val="18"/>
                      <w:szCs w:val="18"/>
                    </w:rPr>
                    <w:t>reglementată</w:t>
                  </w:r>
                  <w:proofErr w:type="spellEnd"/>
                </w:p>
              </w:tc>
            </w:tr>
            <w:tr w:rsidR="002D6B17" w:rsidRPr="00753AFD" w14:paraId="33047497" w14:textId="77777777" w:rsidTr="00753AFD">
              <w:trPr>
                <w:jc w:val="center"/>
              </w:trPr>
              <w:tc>
                <w:tcPr>
                  <w:tcW w:w="10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A4E514" w14:textId="77777777" w:rsidR="002D6B17" w:rsidRPr="00753AFD" w:rsidRDefault="002D6B17" w:rsidP="002D6B17">
                  <w:pPr>
                    <w:pStyle w:val="tbl-norm"/>
                    <w:rPr>
                      <w:sz w:val="18"/>
                      <w:szCs w:val="18"/>
                    </w:rPr>
                  </w:pPr>
                  <w:r w:rsidRPr="00753AFD">
                    <w:rPr>
                      <w:sz w:val="18"/>
                      <w:szCs w:val="18"/>
                    </w:rPr>
                    <w:t xml:space="preserve">Rata </w:t>
                  </w:r>
                  <w:proofErr w:type="spellStart"/>
                  <w:r w:rsidRPr="00753AFD">
                    <w:rPr>
                      <w:sz w:val="18"/>
                      <w:szCs w:val="18"/>
                    </w:rPr>
                    <w:t>dobânzii</w:t>
                  </w:r>
                  <w:proofErr w:type="spellEnd"/>
                </w:p>
              </w:tc>
              <w:tc>
                <w:tcPr>
                  <w:tcW w:w="15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F4F8B8" w14:textId="77777777" w:rsidR="002D6B17" w:rsidRPr="00753AFD" w:rsidRDefault="002D6B17" w:rsidP="002D6B17">
                  <w:pPr>
                    <w:pStyle w:val="tbl-norm"/>
                    <w:rPr>
                      <w:sz w:val="18"/>
                      <w:szCs w:val="18"/>
                    </w:rPr>
                  </w:pPr>
                  <w:proofErr w:type="spellStart"/>
                  <w:r w:rsidRPr="00753AFD">
                    <w:rPr>
                      <w:sz w:val="18"/>
                      <w:szCs w:val="18"/>
                    </w:rPr>
                    <w:t>Toate</w:t>
                  </w:r>
                  <w:proofErr w:type="spellEnd"/>
                </w:p>
              </w:tc>
              <w:tc>
                <w:tcPr>
                  <w:tcW w:w="14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F69D7B" w14:textId="77777777" w:rsidR="002D6B17" w:rsidRPr="00753AFD" w:rsidRDefault="002D6B17" w:rsidP="002D6B17">
                  <w:pPr>
                    <w:pStyle w:val="tbl-norm"/>
                    <w:rPr>
                      <w:sz w:val="18"/>
                      <w:szCs w:val="18"/>
                    </w:rPr>
                  </w:pPr>
                  <w:r w:rsidRPr="00753AFD">
                    <w:rPr>
                      <w:sz w:val="18"/>
                      <w:szCs w:val="18"/>
                    </w:rPr>
                    <w:t>50 %</w:t>
                  </w:r>
                </w:p>
              </w:tc>
            </w:tr>
            <w:tr w:rsidR="002D6B17" w:rsidRPr="00753AFD" w14:paraId="28BDCFFE" w14:textId="77777777" w:rsidTr="00753AFD">
              <w:trPr>
                <w:jc w:val="center"/>
              </w:trPr>
              <w:tc>
                <w:tcPr>
                  <w:tcW w:w="1072"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F996E7" w14:textId="77777777" w:rsidR="002D6B17" w:rsidRPr="00753AFD" w:rsidRDefault="002D6B17" w:rsidP="002D6B17">
                  <w:pPr>
                    <w:pStyle w:val="tbl-norm"/>
                    <w:rPr>
                      <w:sz w:val="18"/>
                      <w:szCs w:val="18"/>
                    </w:rPr>
                  </w:pPr>
                  <w:proofErr w:type="spellStart"/>
                  <w:r w:rsidRPr="00753AFD">
                    <w:rPr>
                      <w:sz w:val="18"/>
                      <w:szCs w:val="18"/>
                    </w:rPr>
                    <w:t>Marfă</w:t>
                  </w:r>
                  <w:proofErr w:type="spellEnd"/>
                </w:p>
              </w:tc>
              <w:tc>
                <w:tcPr>
                  <w:tcW w:w="15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1EF1CA" w14:textId="77777777" w:rsidR="002D6B17" w:rsidRPr="00753AFD" w:rsidRDefault="002D6B17" w:rsidP="002D6B17">
                  <w:pPr>
                    <w:pStyle w:val="tbl-norm"/>
                    <w:rPr>
                      <w:sz w:val="18"/>
                      <w:szCs w:val="18"/>
                    </w:rPr>
                  </w:pPr>
                  <w:r w:rsidRPr="00753AFD">
                    <w:rPr>
                      <w:sz w:val="18"/>
                      <w:szCs w:val="18"/>
                    </w:rPr>
                    <w:t xml:space="preserve">Energia </w:t>
                  </w:r>
                  <w:proofErr w:type="spellStart"/>
                  <w:r w:rsidRPr="00753AFD">
                    <w:rPr>
                      <w:sz w:val="18"/>
                      <w:szCs w:val="18"/>
                    </w:rPr>
                    <w:t>electrică</w:t>
                  </w:r>
                  <w:proofErr w:type="spellEnd"/>
                </w:p>
              </w:tc>
              <w:tc>
                <w:tcPr>
                  <w:tcW w:w="14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2E8C01" w14:textId="77777777" w:rsidR="002D6B17" w:rsidRPr="00753AFD" w:rsidRDefault="002D6B17" w:rsidP="002D6B17">
                  <w:pPr>
                    <w:pStyle w:val="tbl-norm"/>
                    <w:rPr>
                      <w:sz w:val="18"/>
                      <w:szCs w:val="18"/>
                    </w:rPr>
                  </w:pPr>
                  <w:r w:rsidRPr="00753AFD">
                    <w:rPr>
                      <w:sz w:val="18"/>
                      <w:szCs w:val="18"/>
                    </w:rPr>
                    <w:t>150 %</w:t>
                  </w:r>
                </w:p>
              </w:tc>
            </w:tr>
            <w:tr w:rsidR="002D6B17" w:rsidRPr="00753AFD" w14:paraId="0F04E002" w14:textId="77777777" w:rsidTr="00753AFD">
              <w:trPr>
                <w:jc w:val="center"/>
              </w:trPr>
              <w:tc>
                <w:tcPr>
                  <w:tcW w:w="1072" w:type="dxa"/>
                  <w:vMerge/>
                  <w:tcBorders>
                    <w:top w:val="outset" w:sz="6" w:space="0" w:color="auto"/>
                    <w:left w:val="outset" w:sz="6" w:space="0" w:color="auto"/>
                    <w:bottom w:val="outset" w:sz="6" w:space="0" w:color="auto"/>
                    <w:right w:val="outset" w:sz="6" w:space="0" w:color="auto"/>
                  </w:tcBorders>
                  <w:vAlign w:val="center"/>
                  <w:hideMark/>
                </w:tcPr>
                <w:p w14:paraId="14E0FDA5" w14:textId="77777777" w:rsidR="002D6B17" w:rsidRPr="00753AFD" w:rsidRDefault="002D6B17" w:rsidP="002D6B17">
                  <w:pPr>
                    <w:rPr>
                      <w:sz w:val="18"/>
                      <w:szCs w:val="18"/>
                      <w:lang w:val="en-US"/>
                    </w:rPr>
                  </w:pPr>
                </w:p>
              </w:tc>
              <w:tc>
                <w:tcPr>
                  <w:tcW w:w="15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6F6987" w14:textId="77777777" w:rsidR="002D6B17" w:rsidRPr="00753AFD" w:rsidRDefault="002D6B17" w:rsidP="002D6B17">
                  <w:pPr>
                    <w:pStyle w:val="tbl-norm"/>
                    <w:rPr>
                      <w:sz w:val="18"/>
                      <w:szCs w:val="18"/>
                    </w:rPr>
                  </w:pPr>
                  <w:r w:rsidRPr="00753AFD">
                    <w:rPr>
                      <w:sz w:val="18"/>
                      <w:szCs w:val="18"/>
                    </w:rPr>
                    <w:t xml:space="preserve">Alte </w:t>
                  </w:r>
                  <w:proofErr w:type="spellStart"/>
                  <w:r w:rsidRPr="00753AFD">
                    <w:rPr>
                      <w:sz w:val="18"/>
                      <w:szCs w:val="18"/>
                    </w:rPr>
                    <w:t>mărfuri</w:t>
                  </w:r>
                  <w:proofErr w:type="spellEnd"/>
                  <w:r w:rsidRPr="00753AFD">
                    <w:rPr>
                      <w:sz w:val="18"/>
                      <w:szCs w:val="18"/>
                    </w:rPr>
                    <w:t xml:space="preserve"> (</w:t>
                  </w:r>
                  <w:proofErr w:type="spellStart"/>
                  <w:r w:rsidRPr="00753AFD">
                    <w:rPr>
                      <w:sz w:val="18"/>
                      <w:szCs w:val="18"/>
                    </w:rPr>
                    <w:t>mai</w:t>
                  </w:r>
                  <w:proofErr w:type="spellEnd"/>
                  <w:r w:rsidRPr="00753AFD">
                    <w:rPr>
                      <w:sz w:val="18"/>
                      <w:szCs w:val="18"/>
                    </w:rPr>
                    <w:t xml:space="preserve"> </w:t>
                  </w:r>
                  <w:proofErr w:type="spellStart"/>
                  <w:r w:rsidRPr="00753AFD">
                    <w:rPr>
                      <w:sz w:val="18"/>
                      <w:szCs w:val="18"/>
                    </w:rPr>
                    <w:t>puțin</w:t>
                  </w:r>
                  <w:proofErr w:type="spellEnd"/>
                  <w:r w:rsidRPr="00753AFD">
                    <w:rPr>
                      <w:sz w:val="18"/>
                      <w:szCs w:val="18"/>
                    </w:rPr>
                    <w:t xml:space="preserve"> </w:t>
                  </w:r>
                  <w:proofErr w:type="spellStart"/>
                  <w:r w:rsidRPr="00753AFD">
                    <w:rPr>
                      <w:sz w:val="18"/>
                      <w:szCs w:val="18"/>
                    </w:rPr>
                    <w:t>energia</w:t>
                  </w:r>
                  <w:proofErr w:type="spellEnd"/>
                  <w:r w:rsidRPr="00753AFD">
                    <w:rPr>
                      <w:sz w:val="18"/>
                      <w:szCs w:val="18"/>
                    </w:rPr>
                    <w:t xml:space="preserve"> </w:t>
                  </w:r>
                  <w:proofErr w:type="spellStart"/>
                  <w:r w:rsidRPr="00753AFD">
                    <w:rPr>
                      <w:sz w:val="18"/>
                      <w:szCs w:val="18"/>
                    </w:rPr>
                    <w:t>electrică</w:t>
                  </w:r>
                  <w:proofErr w:type="spellEnd"/>
                  <w:r w:rsidRPr="00753AFD">
                    <w:rPr>
                      <w:sz w:val="18"/>
                      <w:szCs w:val="18"/>
                    </w:rPr>
                    <w:t>)</w:t>
                  </w:r>
                </w:p>
              </w:tc>
              <w:tc>
                <w:tcPr>
                  <w:tcW w:w="14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301791" w14:textId="77777777" w:rsidR="002D6B17" w:rsidRPr="00753AFD" w:rsidRDefault="002D6B17" w:rsidP="002D6B17">
                  <w:pPr>
                    <w:pStyle w:val="tbl-norm"/>
                    <w:rPr>
                      <w:sz w:val="18"/>
                      <w:szCs w:val="18"/>
                    </w:rPr>
                  </w:pPr>
                  <w:r w:rsidRPr="00753AFD">
                    <w:rPr>
                      <w:sz w:val="18"/>
                      <w:szCs w:val="18"/>
                    </w:rPr>
                    <w:t>70 %</w:t>
                  </w:r>
                </w:p>
              </w:tc>
            </w:tr>
          </w:tbl>
          <w:p w14:paraId="5A7C5EE4" w14:textId="77777777" w:rsidR="002D6B17" w:rsidRPr="00753AFD" w:rsidRDefault="002D6B17" w:rsidP="002D6B17">
            <w:pPr>
              <w:pStyle w:val="modref"/>
              <w:shd w:val="clear" w:color="auto" w:fill="FFFFFF"/>
              <w:rPr>
                <w:rFonts w:eastAsia="MS Mincho"/>
                <w:b w:val="0"/>
                <w:bCs w:val="0"/>
                <w:sz w:val="18"/>
                <w:szCs w:val="18"/>
                <w:lang w:val="ro-MD"/>
              </w:rPr>
            </w:pPr>
          </w:p>
        </w:tc>
        <w:tc>
          <w:tcPr>
            <w:tcW w:w="3685" w:type="dxa"/>
          </w:tcPr>
          <w:p w14:paraId="6C173BDD" w14:textId="77777777" w:rsidR="002D6B17" w:rsidRPr="00753AFD" w:rsidRDefault="002D6B17" w:rsidP="002D6B17">
            <w:pPr>
              <w:jc w:val="center"/>
              <w:rPr>
                <w:b/>
                <w:bCs/>
                <w:sz w:val="18"/>
                <w:szCs w:val="18"/>
                <w:lang w:val="en-US"/>
              </w:rPr>
            </w:pPr>
            <w:proofErr w:type="spellStart"/>
            <w:r w:rsidRPr="00753AFD">
              <w:rPr>
                <w:b/>
                <w:bCs/>
                <w:sz w:val="18"/>
                <w:szCs w:val="18"/>
                <w:lang w:val="en-US"/>
              </w:rPr>
              <w:lastRenderedPageBreak/>
              <w:t>Capitolul</w:t>
            </w:r>
            <w:proofErr w:type="spellEnd"/>
            <w:r w:rsidRPr="00753AFD">
              <w:rPr>
                <w:b/>
                <w:bCs/>
                <w:sz w:val="18"/>
                <w:szCs w:val="18"/>
                <w:lang w:val="en-US"/>
              </w:rPr>
              <w:t xml:space="preserve"> II</w:t>
            </w:r>
          </w:p>
          <w:p w14:paraId="52608D44" w14:textId="77777777" w:rsidR="002D6B17" w:rsidRPr="00753AFD" w:rsidRDefault="002D6B17" w:rsidP="002D6B17">
            <w:pPr>
              <w:jc w:val="center"/>
              <w:rPr>
                <w:b/>
                <w:bCs/>
                <w:sz w:val="18"/>
                <w:szCs w:val="18"/>
                <w:lang w:val="en-US"/>
              </w:rPr>
            </w:pPr>
            <w:r w:rsidRPr="00753AFD">
              <w:rPr>
                <w:b/>
                <w:bCs/>
                <w:sz w:val="18"/>
                <w:szCs w:val="18"/>
                <w:lang w:val="en-US"/>
              </w:rPr>
              <w:t xml:space="preserve">Formula care </w:t>
            </w:r>
            <w:proofErr w:type="spellStart"/>
            <w:r w:rsidRPr="00753AFD">
              <w:rPr>
                <w:b/>
                <w:bCs/>
                <w:sz w:val="18"/>
                <w:szCs w:val="18"/>
                <w:lang w:val="en-US"/>
              </w:rPr>
              <w:t>trebuie</w:t>
            </w:r>
            <w:proofErr w:type="spellEnd"/>
            <w:r w:rsidRPr="00753AFD">
              <w:rPr>
                <w:b/>
                <w:bCs/>
                <w:sz w:val="18"/>
                <w:szCs w:val="18"/>
                <w:lang w:val="en-US"/>
              </w:rPr>
              <w:t xml:space="preserve"> </w:t>
            </w:r>
            <w:proofErr w:type="spellStart"/>
            <w:r w:rsidRPr="00753AFD">
              <w:rPr>
                <w:b/>
                <w:bCs/>
                <w:sz w:val="18"/>
                <w:szCs w:val="18"/>
                <w:lang w:val="en-US"/>
              </w:rPr>
              <w:t>utilizată</w:t>
            </w:r>
            <w:proofErr w:type="spellEnd"/>
            <w:r w:rsidRPr="00753AFD">
              <w:rPr>
                <w:b/>
                <w:bCs/>
                <w:sz w:val="18"/>
                <w:szCs w:val="18"/>
                <w:lang w:val="en-US"/>
              </w:rPr>
              <w:t xml:space="preserve"> </w:t>
            </w:r>
            <w:proofErr w:type="spellStart"/>
            <w:r w:rsidRPr="00753AFD">
              <w:rPr>
                <w:b/>
                <w:bCs/>
                <w:sz w:val="18"/>
                <w:szCs w:val="18"/>
                <w:lang w:val="en-US"/>
              </w:rPr>
              <w:t>pentru</w:t>
            </w:r>
            <w:proofErr w:type="spellEnd"/>
            <w:r w:rsidRPr="00753AFD">
              <w:rPr>
                <w:b/>
                <w:bCs/>
                <w:sz w:val="18"/>
                <w:szCs w:val="18"/>
                <w:lang w:val="en-US"/>
              </w:rPr>
              <w:t xml:space="preserve"> a </w:t>
            </w:r>
            <w:proofErr w:type="spellStart"/>
            <w:r w:rsidRPr="00753AFD">
              <w:rPr>
                <w:b/>
                <w:bCs/>
                <w:sz w:val="18"/>
                <w:szCs w:val="18"/>
                <w:lang w:val="en-US"/>
              </w:rPr>
              <w:t>calcula</w:t>
            </w:r>
            <w:proofErr w:type="spellEnd"/>
            <w:r w:rsidRPr="00753AFD">
              <w:rPr>
                <w:b/>
                <w:bCs/>
                <w:sz w:val="18"/>
                <w:szCs w:val="18"/>
                <w:lang w:val="en-US"/>
              </w:rPr>
              <w:t xml:space="preserve"> delta </w:t>
            </w:r>
            <w:proofErr w:type="spellStart"/>
            <w:r w:rsidRPr="00753AFD">
              <w:rPr>
                <w:b/>
                <w:bCs/>
                <w:sz w:val="18"/>
                <w:szCs w:val="18"/>
                <w:lang w:val="en-US"/>
              </w:rPr>
              <w:t>reglementat</w:t>
            </w:r>
            <w:proofErr w:type="spellEnd"/>
            <w:r w:rsidRPr="00753AFD">
              <w:rPr>
                <w:b/>
                <w:bCs/>
                <w:sz w:val="18"/>
                <w:szCs w:val="18"/>
                <w:lang w:val="en-US"/>
              </w:rPr>
              <w:t xml:space="preserve"> al </w:t>
            </w:r>
            <w:proofErr w:type="spellStart"/>
            <w:r w:rsidRPr="00753AFD">
              <w:rPr>
                <w:b/>
                <w:bCs/>
                <w:sz w:val="18"/>
                <w:szCs w:val="18"/>
                <w:lang w:val="en-US"/>
              </w:rPr>
              <w:t>opțiunilor</w:t>
            </w:r>
            <w:proofErr w:type="spellEnd"/>
            <w:r w:rsidRPr="00753AFD">
              <w:rPr>
                <w:b/>
                <w:bCs/>
                <w:sz w:val="18"/>
                <w:szCs w:val="18"/>
                <w:lang w:val="en-US"/>
              </w:rPr>
              <w:t xml:space="preserve"> call </w:t>
            </w:r>
            <w:proofErr w:type="spellStart"/>
            <w:r w:rsidRPr="00753AFD">
              <w:rPr>
                <w:b/>
                <w:bCs/>
                <w:sz w:val="18"/>
                <w:szCs w:val="18"/>
                <w:lang w:val="en-US"/>
              </w:rPr>
              <w:t>și</w:t>
            </w:r>
            <w:proofErr w:type="spellEnd"/>
            <w:r w:rsidRPr="00753AFD">
              <w:rPr>
                <w:b/>
                <w:bCs/>
                <w:sz w:val="18"/>
                <w:szCs w:val="18"/>
                <w:lang w:val="en-US"/>
              </w:rPr>
              <w:t xml:space="preserve"> put </w:t>
            </w:r>
            <w:proofErr w:type="spellStart"/>
            <w:r w:rsidRPr="00753AFD">
              <w:rPr>
                <w:b/>
                <w:bCs/>
                <w:sz w:val="18"/>
                <w:szCs w:val="18"/>
                <w:lang w:val="en-US"/>
              </w:rPr>
              <w:t>încadrate</w:t>
            </w:r>
            <w:proofErr w:type="spellEnd"/>
            <w:r w:rsidRPr="00753AFD">
              <w:rPr>
                <w:b/>
                <w:bCs/>
                <w:sz w:val="18"/>
                <w:szCs w:val="18"/>
                <w:lang w:val="en-US"/>
              </w:rPr>
              <w:t xml:space="preserve"> </w:t>
            </w:r>
            <w:proofErr w:type="spellStart"/>
            <w:r w:rsidRPr="00753AFD">
              <w:rPr>
                <w:b/>
                <w:bCs/>
                <w:sz w:val="18"/>
                <w:szCs w:val="18"/>
                <w:lang w:val="en-US"/>
              </w:rPr>
              <w:t>în</w:t>
            </w:r>
            <w:proofErr w:type="spellEnd"/>
            <w:r w:rsidRPr="00753AFD">
              <w:rPr>
                <w:b/>
                <w:bCs/>
                <w:sz w:val="18"/>
                <w:szCs w:val="18"/>
                <w:lang w:val="en-US"/>
              </w:rPr>
              <w:t xml:space="preserve"> </w:t>
            </w:r>
            <w:proofErr w:type="spellStart"/>
            <w:r w:rsidRPr="00753AFD">
              <w:rPr>
                <w:b/>
                <w:bCs/>
                <w:sz w:val="18"/>
                <w:szCs w:val="18"/>
                <w:lang w:val="en-US"/>
              </w:rPr>
              <w:t>categoria</w:t>
            </w:r>
            <w:proofErr w:type="spellEnd"/>
            <w:r w:rsidRPr="00753AFD">
              <w:rPr>
                <w:b/>
                <w:bCs/>
                <w:sz w:val="18"/>
                <w:szCs w:val="18"/>
                <w:lang w:val="en-US"/>
              </w:rPr>
              <w:t xml:space="preserve"> de </w:t>
            </w:r>
            <w:proofErr w:type="spellStart"/>
            <w:r w:rsidRPr="00753AFD">
              <w:rPr>
                <w:b/>
                <w:bCs/>
                <w:sz w:val="18"/>
                <w:szCs w:val="18"/>
                <w:lang w:val="en-US"/>
              </w:rPr>
              <w:t>risc</w:t>
            </w:r>
            <w:proofErr w:type="spellEnd"/>
            <w:r w:rsidRPr="00753AFD">
              <w:rPr>
                <w:b/>
                <w:bCs/>
                <w:sz w:val="18"/>
                <w:szCs w:val="18"/>
                <w:lang w:val="en-US"/>
              </w:rPr>
              <w:t xml:space="preserve"> de </w:t>
            </w:r>
            <w:proofErr w:type="spellStart"/>
            <w:r w:rsidRPr="00753AFD">
              <w:rPr>
                <w:b/>
                <w:bCs/>
                <w:sz w:val="18"/>
                <w:szCs w:val="18"/>
                <w:lang w:val="en-US"/>
              </w:rPr>
              <w:t>rată</w:t>
            </w:r>
            <w:proofErr w:type="spellEnd"/>
            <w:r w:rsidRPr="00753AFD">
              <w:rPr>
                <w:b/>
                <w:bCs/>
                <w:sz w:val="18"/>
                <w:szCs w:val="18"/>
                <w:lang w:val="en-US"/>
              </w:rPr>
              <w:t xml:space="preserve"> a </w:t>
            </w:r>
            <w:proofErr w:type="spellStart"/>
            <w:r w:rsidRPr="00753AFD">
              <w:rPr>
                <w:b/>
                <w:bCs/>
                <w:sz w:val="18"/>
                <w:szCs w:val="18"/>
                <w:lang w:val="en-US"/>
              </w:rPr>
              <w:t>dobânzii</w:t>
            </w:r>
            <w:proofErr w:type="spellEnd"/>
            <w:r w:rsidRPr="00753AFD">
              <w:rPr>
                <w:b/>
                <w:bCs/>
                <w:sz w:val="18"/>
                <w:szCs w:val="18"/>
                <w:lang w:val="en-US"/>
              </w:rPr>
              <w:t xml:space="preserve"> </w:t>
            </w:r>
            <w:proofErr w:type="spellStart"/>
            <w:r w:rsidRPr="00753AFD">
              <w:rPr>
                <w:b/>
                <w:bCs/>
                <w:sz w:val="18"/>
                <w:szCs w:val="18"/>
                <w:lang w:val="en-US"/>
              </w:rPr>
              <w:t>și</w:t>
            </w:r>
            <w:proofErr w:type="spellEnd"/>
            <w:r w:rsidRPr="00753AFD">
              <w:rPr>
                <w:b/>
                <w:bCs/>
                <w:sz w:val="18"/>
                <w:szCs w:val="18"/>
                <w:lang w:val="en-US"/>
              </w:rPr>
              <w:t xml:space="preserve"> </w:t>
            </w:r>
            <w:proofErr w:type="spellStart"/>
            <w:r w:rsidRPr="00753AFD">
              <w:rPr>
                <w:b/>
                <w:bCs/>
                <w:sz w:val="18"/>
                <w:szCs w:val="18"/>
                <w:lang w:val="en-US"/>
              </w:rPr>
              <w:t>volatilitatea</w:t>
            </w:r>
            <w:proofErr w:type="spellEnd"/>
            <w:r w:rsidRPr="00753AFD">
              <w:rPr>
                <w:b/>
                <w:bCs/>
                <w:sz w:val="18"/>
                <w:szCs w:val="18"/>
                <w:lang w:val="en-US"/>
              </w:rPr>
              <w:t xml:space="preserve"> </w:t>
            </w:r>
            <w:proofErr w:type="spellStart"/>
            <w:r w:rsidRPr="00753AFD">
              <w:rPr>
                <w:b/>
                <w:bCs/>
                <w:sz w:val="18"/>
                <w:szCs w:val="18"/>
                <w:lang w:val="en-US"/>
              </w:rPr>
              <w:t>reglementată</w:t>
            </w:r>
            <w:proofErr w:type="spellEnd"/>
            <w:r w:rsidRPr="00753AFD">
              <w:rPr>
                <w:b/>
                <w:bCs/>
                <w:sz w:val="18"/>
                <w:szCs w:val="18"/>
                <w:lang w:val="en-US"/>
              </w:rPr>
              <w:t xml:space="preserve"> </w:t>
            </w:r>
            <w:proofErr w:type="spellStart"/>
            <w:r w:rsidRPr="00753AFD">
              <w:rPr>
                <w:b/>
                <w:bCs/>
                <w:sz w:val="18"/>
                <w:szCs w:val="18"/>
                <w:lang w:val="en-US"/>
              </w:rPr>
              <w:t>adecvată</w:t>
            </w:r>
            <w:proofErr w:type="spellEnd"/>
            <w:r w:rsidRPr="00753AFD">
              <w:rPr>
                <w:b/>
                <w:bCs/>
                <w:sz w:val="18"/>
                <w:szCs w:val="18"/>
                <w:lang w:val="en-US"/>
              </w:rPr>
              <w:t xml:space="preserve"> </w:t>
            </w:r>
            <w:proofErr w:type="spellStart"/>
            <w:r w:rsidRPr="00753AFD">
              <w:rPr>
                <w:b/>
                <w:bCs/>
                <w:sz w:val="18"/>
                <w:szCs w:val="18"/>
                <w:lang w:val="en-US"/>
              </w:rPr>
              <w:t>pentru</w:t>
            </w:r>
            <w:proofErr w:type="spellEnd"/>
            <w:r w:rsidRPr="00753AFD">
              <w:rPr>
                <w:b/>
                <w:bCs/>
                <w:sz w:val="18"/>
                <w:szCs w:val="18"/>
                <w:lang w:val="en-US"/>
              </w:rPr>
              <w:t xml:space="preserve"> formula </w:t>
            </w:r>
            <w:proofErr w:type="spellStart"/>
            <w:r w:rsidRPr="00753AFD">
              <w:rPr>
                <w:b/>
                <w:bCs/>
                <w:sz w:val="18"/>
                <w:szCs w:val="18"/>
                <w:lang w:val="en-US"/>
              </w:rPr>
              <w:t>respectivă</w:t>
            </w:r>
            <w:proofErr w:type="spellEnd"/>
            <w:r w:rsidRPr="00753AFD">
              <w:rPr>
                <w:b/>
                <w:bCs/>
                <w:sz w:val="18"/>
                <w:szCs w:val="18"/>
                <w:lang w:val="en-US"/>
              </w:rPr>
              <w:t xml:space="preserve"> </w:t>
            </w:r>
            <w:proofErr w:type="spellStart"/>
            <w:r w:rsidRPr="00753AFD">
              <w:rPr>
                <w:b/>
                <w:bCs/>
                <w:sz w:val="18"/>
                <w:szCs w:val="18"/>
                <w:lang w:val="en-US"/>
              </w:rPr>
              <w:t>și</w:t>
            </w:r>
            <w:proofErr w:type="spellEnd"/>
            <w:r w:rsidRPr="00753AFD">
              <w:rPr>
                <w:b/>
                <w:bCs/>
                <w:sz w:val="18"/>
                <w:szCs w:val="18"/>
                <w:lang w:val="en-US"/>
              </w:rPr>
              <w:t xml:space="preserve"> </w:t>
            </w:r>
            <w:proofErr w:type="spellStart"/>
            <w:r w:rsidRPr="00753AFD">
              <w:rPr>
                <w:b/>
                <w:bCs/>
                <w:sz w:val="18"/>
                <w:szCs w:val="18"/>
                <w:lang w:val="en-US"/>
              </w:rPr>
              <w:t>metoda</w:t>
            </w:r>
            <w:proofErr w:type="spellEnd"/>
            <w:r w:rsidRPr="00753AFD">
              <w:rPr>
                <w:b/>
                <w:bCs/>
                <w:sz w:val="18"/>
                <w:szCs w:val="18"/>
                <w:lang w:val="en-US"/>
              </w:rPr>
              <w:t xml:space="preserve"> </w:t>
            </w:r>
            <w:proofErr w:type="spellStart"/>
            <w:r w:rsidRPr="00753AFD">
              <w:rPr>
                <w:b/>
                <w:bCs/>
                <w:sz w:val="18"/>
                <w:szCs w:val="18"/>
                <w:lang w:val="en-US"/>
              </w:rPr>
              <w:t>pentru</w:t>
            </w:r>
            <w:proofErr w:type="spellEnd"/>
            <w:r w:rsidRPr="00753AFD">
              <w:rPr>
                <w:b/>
                <w:bCs/>
                <w:sz w:val="18"/>
                <w:szCs w:val="18"/>
                <w:lang w:val="en-US"/>
              </w:rPr>
              <w:t xml:space="preserve"> a </w:t>
            </w:r>
            <w:proofErr w:type="spellStart"/>
            <w:r w:rsidRPr="00753AFD">
              <w:rPr>
                <w:b/>
                <w:bCs/>
                <w:sz w:val="18"/>
                <w:szCs w:val="18"/>
                <w:lang w:val="en-US"/>
              </w:rPr>
              <w:t>determina</w:t>
            </w:r>
            <w:proofErr w:type="spellEnd"/>
            <w:r w:rsidRPr="00753AFD">
              <w:rPr>
                <w:b/>
                <w:bCs/>
                <w:sz w:val="18"/>
                <w:szCs w:val="18"/>
                <w:lang w:val="en-US"/>
              </w:rPr>
              <w:t xml:space="preserve"> </w:t>
            </w:r>
            <w:proofErr w:type="spellStart"/>
            <w:r w:rsidRPr="00753AFD">
              <w:rPr>
                <w:b/>
                <w:bCs/>
                <w:sz w:val="18"/>
                <w:szCs w:val="18"/>
                <w:lang w:val="en-US"/>
              </w:rPr>
              <w:t>dacă</w:t>
            </w:r>
            <w:proofErr w:type="spellEnd"/>
            <w:r w:rsidRPr="00753AFD">
              <w:rPr>
                <w:b/>
                <w:bCs/>
                <w:sz w:val="18"/>
                <w:szCs w:val="18"/>
                <w:lang w:val="en-US"/>
              </w:rPr>
              <w:t xml:space="preserve"> o </w:t>
            </w:r>
            <w:proofErr w:type="spellStart"/>
            <w:r w:rsidRPr="00753AFD">
              <w:rPr>
                <w:b/>
                <w:bCs/>
                <w:sz w:val="18"/>
                <w:szCs w:val="18"/>
                <w:lang w:val="en-US"/>
              </w:rPr>
              <w:t>tranzacție</w:t>
            </w:r>
            <w:proofErr w:type="spellEnd"/>
            <w:r w:rsidRPr="00753AFD">
              <w:rPr>
                <w:b/>
                <w:bCs/>
                <w:sz w:val="18"/>
                <w:szCs w:val="18"/>
                <w:lang w:val="en-US"/>
              </w:rPr>
              <w:t xml:space="preserve"> </w:t>
            </w:r>
            <w:proofErr w:type="spellStart"/>
            <w:r w:rsidRPr="00753AFD">
              <w:rPr>
                <w:b/>
                <w:bCs/>
                <w:sz w:val="18"/>
                <w:szCs w:val="18"/>
                <w:lang w:val="en-US"/>
              </w:rPr>
              <w:t>este</w:t>
            </w:r>
            <w:proofErr w:type="spellEnd"/>
            <w:r w:rsidRPr="00753AFD">
              <w:rPr>
                <w:b/>
                <w:bCs/>
                <w:sz w:val="18"/>
                <w:szCs w:val="18"/>
                <w:lang w:val="en-US"/>
              </w:rPr>
              <w:t xml:space="preserve"> o </w:t>
            </w:r>
            <w:proofErr w:type="spellStart"/>
            <w:r w:rsidRPr="00753AFD">
              <w:rPr>
                <w:b/>
                <w:bCs/>
                <w:sz w:val="18"/>
                <w:szCs w:val="18"/>
                <w:lang w:val="en-US"/>
              </w:rPr>
              <w:t>poziție</w:t>
            </w:r>
            <w:proofErr w:type="spellEnd"/>
            <w:r w:rsidRPr="00753AFD">
              <w:rPr>
                <w:b/>
                <w:bCs/>
                <w:sz w:val="18"/>
                <w:szCs w:val="18"/>
                <w:lang w:val="en-US"/>
              </w:rPr>
              <w:t xml:space="preserve"> </w:t>
            </w:r>
            <w:proofErr w:type="spellStart"/>
            <w:r w:rsidRPr="00753AFD">
              <w:rPr>
                <w:b/>
                <w:bCs/>
                <w:sz w:val="18"/>
                <w:szCs w:val="18"/>
                <w:lang w:val="en-US"/>
              </w:rPr>
              <w:t>lungă</w:t>
            </w:r>
            <w:proofErr w:type="spellEnd"/>
            <w:r w:rsidRPr="00753AFD">
              <w:rPr>
                <w:b/>
                <w:bCs/>
                <w:sz w:val="18"/>
                <w:szCs w:val="18"/>
                <w:lang w:val="en-US"/>
              </w:rPr>
              <w:t xml:space="preserve"> </w:t>
            </w:r>
            <w:proofErr w:type="spellStart"/>
            <w:r w:rsidRPr="00753AFD">
              <w:rPr>
                <w:b/>
                <w:bCs/>
                <w:sz w:val="18"/>
                <w:szCs w:val="18"/>
                <w:lang w:val="en-US"/>
              </w:rPr>
              <w:t>sau</w:t>
            </w:r>
            <w:proofErr w:type="spellEnd"/>
            <w:r w:rsidRPr="00753AFD">
              <w:rPr>
                <w:b/>
                <w:bCs/>
                <w:sz w:val="18"/>
                <w:szCs w:val="18"/>
                <w:lang w:val="en-US"/>
              </w:rPr>
              <w:t xml:space="preserve"> </w:t>
            </w:r>
            <w:proofErr w:type="spellStart"/>
            <w:r w:rsidRPr="00753AFD">
              <w:rPr>
                <w:b/>
                <w:bCs/>
                <w:sz w:val="18"/>
                <w:szCs w:val="18"/>
                <w:lang w:val="en-US"/>
              </w:rPr>
              <w:t>scurtă</w:t>
            </w:r>
            <w:proofErr w:type="spellEnd"/>
            <w:r w:rsidRPr="00753AFD">
              <w:rPr>
                <w:b/>
                <w:bCs/>
                <w:sz w:val="18"/>
                <w:szCs w:val="18"/>
                <w:lang w:val="en-US"/>
              </w:rPr>
              <w:t xml:space="preserve"> pe </w:t>
            </w:r>
            <w:proofErr w:type="spellStart"/>
            <w:r w:rsidRPr="00753AFD">
              <w:rPr>
                <w:b/>
                <w:bCs/>
                <w:sz w:val="18"/>
                <w:szCs w:val="18"/>
                <w:lang w:val="en-US"/>
              </w:rPr>
              <w:t>determinantul</w:t>
            </w:r>
            <w:proofErr w:type="spellEnd"/>
            <w:r w:rsidRPr="00753AFD">
              <w:rPr>
                <w:b/>
                <w:bCs/>
                <w:sz w:val="18"/>
                <w:szCs w:val="18"/>
                <w:lang w:val="en-US"/>
              </w:rPr>
              <w:t xml:space="preserve"> de </w:t>
            </w:r>
            <w:proofErr w:type="spellStart"/>
            <w:r w:rsidRPr="00753AFD">
              <w:rPr>
                <w:b/>
                <w:bCs/>
                <w:sz w:val="18"/>
                <w:szCs w:val="18"/>
                <w:lang w:val="en-US"/>
              </w:rPr>
              <w:t>risc</w:t>
            </w:r>
            <w:proofErr w:type="spellEnd"/>
            <w:r w:rsidRPr="00753AFD">
              <w:rPr>
                <w:b/>
                <w:bCs/>
                <w:sz w:val="18"/>
                <w:szCs w:val="18"/>
                <w:lang w:val="en-US"/>
              </w:rPr>
              <w:t xml:space="preserve"> principal </w:t>
            </w:r>
            <w:proofErr w:type="spellStart"/>
            <w:r w:rsidRPr="00753AFD">
              <w:rPr>
                <w:b/>
                <w:bCs/>
                <w:sz w:val="18"/>
                <w:szCs w:val="18"/>
                <w:lang w:val="en-US"/>
              </w:rPr>
              <w:t>sau</w:t>
            </w:r>
            <w:proofErr w:type="spellEnd"/>
            <w:r w:rsidRPr="00753AFD">
              <w:rPr>
                <w:b/>
                <w:bCs/>
                <w:sz w:val="18"/>
                <w:szCs w:val="18"/>
                <w:lang w:val="en-US"/>
              </w:rPr>
              <w:t xml:space="preserve"> pe </w:t>
            </w:r>
            <w:proofErr w:type="spellStart"/>
            <w:r w:rsidRPr="00753AFD">
              <w:rPr>
                <w:b/>
                <w:bCs/>
                <w:sz w:val="18"/>
                <w:szCs w:val="18"/>
                <w:lang w:val="en-US"/>
              </w:rPr>
              <w:t>determinantul</w:t>
            </w:r>
            <w:proofErr w:type="spellEnd"/>
            <w:r w:rsidRPr="00753AFD">
              <w:rPr>
                <w:b/>
                <w:bCs/>
                <w:sz w:val="18"/>
                <w:szCs w:val="18"/>
                <w:lang w:val="en-US"/>
              </w:rPr>
              <w:t xml:space="preserve"> de </w:t>
            </w:r>
            <w:proofErr w:type="spellStart"/>
            <w:r w:rsidRPr="00753AFD">
              <w:rPr>
                <w:b/>
                <w:bCs/>
                <w:sz w:val="18"/>
                <w:szCs w:val="18"/>
                <w:lang w:val="en-US"/>
              </w:rPr>
              <w:t>risc</w:t>
            </w:r>
            <w:proofErr w:type="spellEnd"/>
            <w:r w:rsidRPr="00753AFD">
              <w:rPr>
                <w:b/>
                <w:bCs/>
                <w:sz w:val="18"/>
                <w:szCs w:val="18"/>
                <w:lang w:val="en-US"/>
              </w:rPr>
              <w:t xml:space="preserve"> cel </w:t>
            </w:r>
            <w:proofErr w:type="spellStart"/>
            <w:r w:rsidRPr="00753AFD">
              <w:rPr>
                <w:b/>
                <w:bCs/>
                <w:sz w:val="18"/>
                <w:szCs w:val="18"/>
                <w:lang w:val="en-US"/>
              </w:rPr>
              <w:t>mai</w:t>
            </w:r>
            <w:proofErr w:type="spellEnd"/>
            <w:r w:rsidRPr="00753AFD">
              <w:rPr>
                <w:b/>
                <w:bCs/>
                <w:sz w:val="18"/>
                <w:szCs w:val="18"/>
                <w:lang w:val="en-US"/>
              </w:rPr>
              <w:t xml:space="preserve"> </w:t>
            </w:r>
            <w:proofErr w:type="spellStart"/>
            <w:r w:rsidRPr="00753AFD">
              <w:rPr>
                <w:b/>
                <w:bCs/>
                <w:sz w:val="18"/>
                <w:szCs w:val="18"/>
                <w:lang w:val="en-US"/>
              </w:rPr>
              <w:t>semnificativ</w:t>
            </w:r>
            <w:proofErr w:type="spellEnd"/>
            <w:r w:rsidRPr="00753AFD">
              <w:rPr>
                <w:b/>
                <w:bCs/>
                <w:sz w:val="18"/>
                <w:szCs w:val="18"/>
                <w:lang w:val="en-US"/>
              </w:rPr>
              <w:t xml:space="preserve"> </w:t>
            </w:r>
            <w:proofErr w:type="spellStart"/>
            <w:r w:rsidRPr="00753AFD">
              <w:rPr>
                <w:b/>
                <w:bCs/>
                <w:sz w:val="18"/>
                <w:szCs w:val="18"/>
                <w:lang w:val="en-US"/>
              </w:rPr>
              <w:t>dintr</w:t>
            </w:r>
            <w:proofErr w:type="spellEnd"/>
            <w:r w:rsidRPr="00753AFD">
              <w:rPr>
                <w:b/>
                <w:bCs/>
                <w:sz w:val="18"/>
                <w:szCs w:val="18"/>
                <w:lang w:val="en-US"/>
              </w:rPr>
              <w:t xml:space="preserve">-o </w:t>
            </w:r>
            <w:proofErr w:type="spellStart"/>
            <w:r w:rsidRPr="00753AFD">
              <w:rPr>
                <w:b/>
                <w:bCs/>
                <w:sz w:val="18"/>
                <w:szCs w:val="18"/>
                <w:lang w:val="en-US"/>
              </w:rPr>
              <w:t>anumită</w:t>
            </w:r>
            <w:proofErr w:type="spellEnd"/>
            <w:r w:rsidRPr="00753AFD">
              <w:rPr>
                <w:b/>
                <w:bCs/>
                <w:sz w:val="18"/>
                <w:szCs w:val="18"/>
                <w:lang w:val="en-US"/>
              </w:rPr>
              <w:t xml:space="preserve"> </w:t>
            </w:r>
            <w:proofErr w:type="spellStart"/>
            <w:r w:rsidRPr="00753AFD">
              <w:rPr>
                <w:b/>
                <w:bCs/>
                <w:sz w:val="18"/>
                <w:szCs w:val="18"/>
                <w:lang w:val="en-US"/>
              </w:rPr>
              <w:t>categorie</w:t>
            </w:r>
            <w:proofErr w:type="spellEnd"/>
            <w:r w:rsidRPr="00753AFD">
              <w:rPr>
                <w:b/>
                <w:bCs/>
                <w:sz w:val="18"/>
                <w:szCs w:val="18"/>
                <w:lang w:val="en-US"/>
              </w:rPr>
              <w:t xml:space="preserve"> de </w:t>
            </w:r>
            <w:proofErr w:type="spellStart"/>
            <w:r w:rsidRPr="00753AFD">
              <w:rPr>
                <w:b/>
                <w:bCs/>
                <w:sz w:val="18"/>
                <w:szCs w:val="18"/>
                <w:lang w:val="en-US"/>
              </w:rPr>
              <w:t>risc</w:t>
            </w:r>
            <w:proofErr w:type="spellEnd"/>
          </w:p>
          <w:p w14:paraId="5F71DC15" w14:textId="77777777" w:rsidR="002D6B17" w:rsidRDefault="002D6B17" w:rsidP="002D6B17">
            <w:pPr>
              <w:jc w:val="center"/>
              <w:rPr>
                <w:i/>
                <w:iCs/>
                <w:sz w:val="18"/>
                <w:szCs w:val="18"/>
                <w:lang w:val="en-US"/>
              </w:rPr>
            </w:pPr>
          </w:p>
          <w:p w14:paraId="5D183D8C" w14:textId="357B8A35" w:rsidR="002D6B17" w:rsidRPr="00753AFD" w:rsidRDefault="002D6B17" w:rsidP="002D6B17">
            <w:pPr>
              <w:jc w:val="center"/>
              <w:rPr>
                <w:i/>
                <w:iCs/>
                <w:sz w:val="18"/>
                <w:szCs w:val="18"/>
                <w:lang w:val="en-US"/>
              </w:rPr>
            </w:pPr>
            <w:proofErr w:type="spellStart"/>
            <w:r w:rsidRPr="00753AFD">
              <w:rPr>
                <w:i/>
                <w:iCs/>
                <w:sz w:val="18"/>
                <w:szCs w:val="18"/>
                <w:lang w:val="en-US"/>
              </w:rPr>
              <w:t>Secțiunea</w:t>
            </w:r>
            <w:proofErr w:type="spellEnd"/>
            <w:r w:rsidRPr="00753AFD">
              <w:rPr>
                <w:i/>
                <w:iCs/>
                <w:sz w:val="18"/>
                <w:szCs w:val="18"/>
                <w:lang w:val="en-US"/>
              </w:rPr>
              <w:t xml:space="preserve"> 1</w:t>
            </w:r>
          </w:p>
          <w:p w14:paraId="05FE0785" w14:textId="77777777" w:rsidR="002D6B17" w:rsidRPr="00753AFD" w:rsidRDefault="002D6B17" w:rsidP="002D6B17">
            <w:pPr>
              <w:jc w:val="center"/>
              <w:rPr>
                <w:b/>
                <w:bCs/>
                <w:sz w:val="18"/>
                <w:szCs w:val="18"/>
                <w:lang w:val="en-US"/>
              </w:rPr>
            </w:pPr>
            <w:r w:rsidRPr="00753AFD">
              <w:rPr>
                <w:b/>
                <w:bCs/>
                <w:sz w:val="18"/>
                <w:szCs w:val="18"/>
                <w:lang w:val="en-US"/>
              </w:rPr>
              <w:t xml:space="preserve">Formula de </w:t>
            </w:r>
            <w:proofErr w:type="spellStart"/>
            <w:r w:rsidRPr="00753AFD">
              <w:rPr>
                <w:b/>
                <w:bCs/>
                <w:sz w:val="18"/>
                <w:szCs w:val="18"/>
                <w:lang w:val="en-US"/>
              </w:rPr>
              <w:t>utilizat</w:t>
            </w:r>
            <w:proofErr w:type="spellEnd"/>
            <w:r w:rsidRPr="00753AFD">
              <w:rPr>
                <w:b/>
                <w:bCs/>
                <w:sz w:val="18"/>
                <w:szCs w:val="18"/>
                <w:lang w:val="en-US"/>
              </w:rPr>
              <w:t xml:space="preserve"> </w:t>
            </w:r>
            <w:proofErr w:type="spellStart"/>
            <w:r w:rsidRPr="00753AFD">
              <w:rPr>
                <w:b/>
                <w:bCs/>
                <w:sz w:val="18"/>
                <w:szCs w:val="18"/>
                <w:lang w:val="en-US"/>
              </w:rPr>
              <w:t>pentru</w:t>
            </w:r>
            <w:proofErr w:type="spellEnd"/>
            <w:r w:rsidRPr="00753AFD">
              <w:rPr>
                <w:b/>
                <w:bCs/>
                <w:sz w:val="18"/>
                <w:szCs w:val="18"/>
                <w:lang w:val="en-US"/>
              </w:rPr>
              <w:t xml:space="preserve"> a </w:t>
            </w:r>
            <w:proofErr w:type="spellStart"/>
            <w:r w:rsidRPr="00753AFD">
              <w:rPr>
                <w:b/>
                <w:bCs/>
                <w:sz w:val="18"/>
                <w:szCs w:val="18"/>
                <w:lang w:val="en-US"/>
              </w:rPr>
              <w:t>calcula</w:t>
            </w:r>
            <w:proofErr w:type="spellEnd"/>
            <w:r w:rsidRPr="00753AFD">
              <w:rPr>
                <w:b/>
                <w:bCs/>
                <w:sz w:val="18"/>
                <w:szCs w:val="18"/>
                <w:lang w:val="en-US"/>
              </w:rPr>
              <w:t xml:space="preserve"> delta </w:t>
            </w:r>
            <w:proofErr w:type="spellStart"/>
            <w:r w:rsidRPr="00753AFD">
              <w:rPr>
                <w:b/>
                <w:bCs/>
                <w:sz w:val="18"/>
                <w:szCs w:val="18"/>
                <w:lang w:val="en-US"/>
              </w:rPr>
              <w:t>reglementat</w:t>
            </w:r>
            <w:proofErr w:type="spellEnd"/>
            <w:r w:rsidRPr="00753AFD">
              <w:rPr>
                <w:b/>
                <w:bCs/>
                <w:sz w:val="18"/>
                <w:szCs w:val="18"/>
                <w:lang w:val="en-US"/>
              </w:rPr>
              <w:t xml:space="preserve"> al </w:t>
            </w:r>
            <w:proofErr w:type="spellStart"/>
            <w:r w:rsidRPr="00753AFD">
              <w:rPr>
                <w:b/>
                <w:bCs/>
                <w:sz w:val="18"/>
                <w:szCs w:val="18"/>
                <w:lang w:val="en-US"/>
              </w:rPr>
              <w:t>opțiunilor</w:t>
            </w:r>
            <w:proofErr w:type="spellEnd"/>
            <w:r w:rsidRPr="00753AFD">
              <w:rPr>
                <w:b/>
                <w:bCs/>
                <w:sz w:val="18"/>
                <w:szCs w:val="18"/>
                <w:lang w:val="en-US"/>
              </w:rPr>
              <w:t xml:space="preserve"> call </w:t>
            </w:r>
            <w:proofErr w:type="spellStart"/>
            <w:r w:rsidRPr="00753AFD">
              <w:rPr>
                <w:b/>
                <w:bCs/>
                <w:sz w:val="18"/>
                <w:szCs w:val="18"/>
                <w:lang w:val="en-US"/>
              </w:rPr>
              <w:t>și</w:t>
            </w:r>
            <w:proofErr w:type="spellEnd"/>
            <w:r w:rsidRPr="00753AFD">
              <w:rPr>
                <w:b/>
                <w:bCs/>
                <w:sz w:val="18"/>
                <w:szCs w:val="18"/>
                <w:lang w:val="en-US"/>
              </w:rPr>
              <w:t xml:space="preserve"> put </w:t>
            </w:r>
            <w:proofErr w:type="spellStart"/>
            <w:r w:rsidRPr="00753AFD">
              <w:rPr>
                <w:b/>
                <w:bCs/>
                <w:sz w:val="18"/>
                <w:szCs w:val="18"/>
                <w:lang w:val="en-US"/>
              </w:rPr>
              <w:t>încadrate</w:t>
            </w:r>
            <w:proofErr w:type="spellEnd"/>
            <w:r w:rsidRPr="00753AFD">
              <w:rPr>
                <w:b/>
                <w:bCs/>
                <w:sz w:val="18"/>
                <w:szCs w:val="18"/>
                <w:lang w:val="en-US"/>
              </w:rPr>
              <w:t xml:space="preserve"> </w:t>
            </w:r>
            <w:proofErr w:type="spellStart"/>
            <w:r w:rsidRPr="00753AFD">
              <w:rPr>
                <w:b/>
                <w:bCs/>
                <w:sz w:val="18"/>
                <w:szCs w:val="18"/>
                <w:lang w:val="en-US"/>
              </w:rPr>
              <w:t>în</w:t>
            </w:r>
            <w:proofErr w:type="spellEnd"/>
            <w:r w:rsidRPr="00753AFD">
              <w:rPr>
                <w:b/>
                <w:bCs/>
                <w:sz w:val="18"/>
                <w:szCs w:val="18"/>
                <w:lang w:val="en-US"/>
              </w:rPr>
              <w:t xml:space="preserve"> </w:t>
            </w:r>
            <w:proofErr w:type="spellStart"/>
            <w:r w:rsidRPr="00753AFD">
              <w:rPr>
                <w:b/>
                <w:bCs/>
                <w:sz w:val="18"/>
                <w:szCs w:val="18"/>
                <w:lang w:val="en-US"/>
              </w:rPr>
              <w:t>categoria</w:t>
            </w:r>
            <w:proofErr w:type="spellEnd"/>
            <w:r w:rsidRPr="00753AFD">
              <w:rPr>
                <w:b/>
                <w:bCs/>
                <w:sz w:val="18"/>
                <w:szCs w:val="18"/>
                <w:lang w:val="en-US"/>
              </w:rPr>
              <w:t xml:space="preserve"> de </w:t>
            </w:r>
            <w:proofErr w:type="spellStart"/>
            <w:r w:rsidRPr="00753AFD">
              <w:rPr>
                <w:b/>
                <w:bCs/>
                <w:sz w:val="18"/>
                <w:szCs w:val="18"/>
                <w:lang w:val="en-US"/>
              </w:rPr>
              <w:t>risc</w:t>
            </w:r>
            <w:proofErr w:type="spellEnd"/>
            <w:r w:rsidRPr="00753AFD">
              <w:rPr>
                <w:b/>
                <w:bCs/>
                <w:sz w:val="18"/>
                <w:szCs w:val="18"/>
                <w:lang w:val="en-US"/>
              </w:rPr>
              <w:t xml:space="preserve"> de </w:t>
            </w:r>
            <w:proofErr w:type="spellStart"/>
            <w:r w:rsidRPr="00753AFD">
              <w:rPr>
                <w:b/>
                <w:bCs/>
                <w:sz w:val="18"/>
                <w:szCs w:val="18"/>
                <w:lang w:val="en-US"/>
              </w:rPr>
              <w:t>rată</w:t>
            </w:r>
            <w:proofErr w:type="spellEnd"/>
            <w:r w:rsidRPr="00753AFD">
              <w:rPr>
                <w:b/>
                <w:bCs/>
                <w:sz w:val="18"/>
                <w:szCs w:val="18"/>
                <w:lang w:val="en-US"/>
              </w:rPr>
              <w:t xml:space="preserve"> a </w:t>
            </w:r>
            <w:proofErr w:type="spellStart"/>
            <w:r w:rsidRPr="00753AFD">
              <w:rPr>
                <w:b/>
                <w:bCs/>
                <w:sz w:val="18"/>
                <w:szCs w:val="18"/>
                <w:lang w:val="en-US"/>
              </w:rPr>
              <w:t>dobânzii</w:t>
            </w:r>
            <w:proofErr w:type="spellEnd"/>
            <w:r w:rsidRPr="00753AFD">
              <w:rPr>
                <w:b/>
                <w:bCs/>
                <w:sz w:val="18"/>
                <w:szCs w:val="18"/>
                <w:lang w:val="en-US"/>
              </w:rPr>
              <w:t xml:space="preserve"> </w:t>
            </w:r>
            <w:proofErr w:type="spellStart"/>
            <w:r w:rsidRPr="00753AFD">
              <w:rPr>
                <w:b/>
                <w:bCs/>
                <w:sz w:val="18"/>
                <w:szCs w:val="18"/>
                <w:lang w:val="en-US"/>
              </w:rPr>
              <w:t>și</w:t>
            </w:r>
            <w:proofErr w:type="spellEnd"/>
            <w:r w:rsidRPr="00753AFD">
              <w:rPr>
                <w:b/>
                <w:bCs/>
                <w:sz w:val="18"/>
                <w:szCs w:val="18"/>
                <w:lang w:val="en-US"/>
              </w:rPr>
              <w:t xml:space="preserve"> </w:t>
            </w:r>
            <w:proofErr w:type="spellStart"/>
            <w:r w:rsidRPr="00753AFD">
              <w:rPr>
                <w:b/>
                <w:bCs/>
                <w:sz w:val="18"/>
                <w:szCs w:val="18"/>
                <w:lang w:val="en-US"/>
              </w:rPr>
              <w:t>volatilitatea</w:t>
            </w:r>
            <w:proofErr w:type="spellEnd"/>
            <w:r w:rsidRPr="00753AFD">
              <w:rPr>
                <w:b/>
                <w:bCs/>
                <w:sz w:val="18"/>
                <w:szCs w:val="18"/>
                <w:lang w:val="en-US"/>
              </w:rPr>
              <w:t xml:space="preserve"> </w:t>
            </w:r>
            <w:proofErr w:type="spellStart"/>
            <w:r w:rsidRPr="00753AFD">
              <w:rPr>
                <w:b/>
                <w:bCs/>
                <w:sz w:val="18"/>
                <w:szCs w:val="18"/>
                <w:lang w:val="en-US"/>
              </w:rPr>
              <w:t>reglementată</w:t>
            </w:r>
            <w:proofErr w:type="spellEnd"/>
            <w:r w:rsidRPr="00753AFD">
              <w:rPr>
                <w:b/>
                <w:bCs/>
                <w:sz w:val="18"/>
                <w:szCs w:val="18"/>
                <w:lang w:val="en-US"/>
              </w:rPr>
              <w:t xml:space="preserve"> </w:t>
            </w:r>
            <w:proofErr w:type="spellStart"/>
            <w:r w:rsidRPr="00753AFD">
              <w:rPr>
                <w:b/>
                <w:bCs/>
                <w:sz w:val="18"/>
                <w:szCs w:val="18"/>
                <w:lang w:val="en-US"/>
              </w:rPr>
              <w:t>adecvată</w:t>
            </w:r>
            <w:proofErr w:type="spellEnd"/>
            <w:r w:rsidRPr="00753AFD">
              <w:rPr>
                <w:b/>
                <w:bCs/>
                <w:sz w:val="18"/>
                <w:szCs w:val="18"/>
                <w:lang w:val="en-US"/>
              </w:rPr>
              <w:t xml:space="preserve"> </w:t>
            </w:r>
            <w:proofErr w:type="spellStart"/>
            <w:r w:rsidRPr="00753AFD">
              <w:rPr>
                <w:b/>
                <w:bCs/>
                <w:sz w:val="18"/>
                <w:szCs w:val="18"/>
                <w:lang w:val="en-US"/>
              </w:rPr>
              <w:t>pentru</w:t>
            </w:r>
            <w:proofErr w:type="spellEnd"/>
            <w:r w:rsidRPr="00753AFD">
              <w:rPr>
                <w:b/>
                <w:bCs/>
                <w:sz w:val="18"/>
                <w:szCs w:val="18"/>
                <w:lang w:val="en-US"/>
              </w:rPr>
              <w:t xml:space="preserve"> </w:t>
            </w:r>
            <w:proofErr w:type="spellStart"/>
            <w:r w:rsidRPr="00753AFD">
              <w:rPr>
                <w:b/>
                <w:bCs/>
                <w:sz w:val="18"/>
                <w:szCs w:val="18"/>
                <w:lang w:val="en-US"/>
              </w:rPr>
              <w:t>această</w:t>
            </w:r>
            <w:proofErr w:type="spellEnd"/>
            <w:r w:rsidRPr="00753AFD">
              <w:rPr>
                <w:b/>
                <w:bCs/>
                <w:sz w:val="18"/>
                <w:szCs w:val="18"/>
                <w:lang w:val="en-US"/>
              </w:rPr>
              <w:t xml:space="preserve"> </w:t>
            </w:r>
            <w:proofErr w:type="spellStart"/>
            <w:r w:rsidRPr="00753AFD">
              <w:rPr>
                <w:b/>
                <w:bCs/>
                <w:sz w:val="18"/>
                <w:szCs w:val="18"/>
                <w:lang w:val="en-US"/>
              </w:rPr>
              <w:t>formulă</w:t>
            </w:r>
            <w:proofErr w:type="spellEnd"/>
          </w:p>
          <w:p w14:paraId="2178E1CF" w14:textId="77777777" w:rsidR="002D6B17" w:rsidRDefault="002D6B17" w:rsidP="002D6B17">
            <w:pPr>
              <w:jc w:val="both"/>
              <w:rPr>
                <w:b/>
                <w:bCs/>
                <w:sz w:val="18"/>
                <w:szCs w:val="18"/>
                <w:lang w:val="en-US"/>
              </w:rPr>
            </w:pPr>
          </w:p>
          <w:p w14:paraId="7D731CC1" w14:textId="75F05EFC" w:rsidR="002D6B17" w:rsidRPr="00753AFD" w:rsidRDefault="002D6B17" w:rsidP="002D6B17">
            <w:pPr>
              <w:jc w:val="both"/>
              <w:rPr>
                <w:sz w:val="18"/>
                <w:szCs w:val="18"/>
                <w:lang w:val="en-US"/>
              </w:rPr>
            </w:pPr>
            <w:r w:rsidRPr="00753AFD">
              <w:rPr>
                <w:b/>
                <w:bCs/>
                <w:sz w:val="18"/>
                <w:szCs w:val="18"/>
                <w:lang w:val="en-US"/>
              </w:rPr>
              <w:t>10.</w:t>
            </w:r>
            <w:r w:rsidRPr="00753AFD">
              <w:rPr>
                <w:sz w:val="18"/>
                <w:szCs w:val="18"/>
                <w:lang w:val="en-US"/>
              </w:rPr>
              <w:t>   </w:t>
            </w:r>
            <w:proofErr w:type="spellStart"/>
            <w:r w:rsidRPr="00753AFD">
              <w:rPr>
                <w:sz w:val="18"/>
                <w:szCs w:val="18"/>
                <w:lang w:val="en-US"/>
              </w:rPr>
              <w:t>Băncile</w:t>
            </w:r>
            <w:proofErr w:type="spellEnd"/>
            <w:r w:rsidRPr="00753AFD">
              <w:rPr>
                <w:sz w:val="18"/>
                <w:szCs w:val="18"/>
                <w:lang w:val="en-US"/>
              </w:rPr>
              <w:t xml:space="preserve"> </w:t>
            </w:r>
            <w:proofErr w:type="spellStart"/>
            <w:r w:rsidRPr="00753AFD">
              <w:rPr>
                <w:sz w:val="18"/>
                <w:szCs w:val="18"/>
                <w:lang w:val="en-US"/>
              </w:rPr>
              <w:t>calculează</w:t>
            </w:r>
            <w:proofErr w:type="spellEnd"/>
            <w:r w:rsidRPr="00753AFD">
              <w:rPr>
                <w:sz w:val="18"/>
                <w:szCs w:val="18"/>
                <w:lang w:val="en-US"/>
              </w:rPr>
              <w:t xml:space="preserve"> delta </w:t>
            </w:r>
            <w:proofErr w:type="spellStart"/>
            <w:r w:rsidRPr="00753AFD">
              <w:rPr>
                <w:sz w:val="18"/>
                <w:szCs w:val="18"/>
                <w:lang w:val="en-US"/>
              </w:rPr>
              <w:t>reglementat</w:t>
            </w:r>
            <w:proofErr w:type="spellEnd"/>
            <w:r w:rsidRPr="00753AFD">
              <w:rPr>
                <w:sz w:val="18"/>
                <w:szCs w:val="18"/>
                <w:lang w:val="en-US"/>
              </w:rPr>
              <w:t xml:space="preserve"> (</w:t>
            </w:r>
            <w:r w:rsidRPr="00753AFD">
              <w:rPr>
                <w:sz w:val="18"/>
                <w:szCs w:val="18"/>
              </w:rPr>
              <w:t>δ</w:t>
            </w:r>
            <w:r w:rsidRPr="00753AFD">
              <w:rPr>
                <w:sz w:val="18"/>
                <w:szCs w:val="18"/>
                <w:lang w:val="en-US"/>
              </w:rPr>
              <w:t xml:space="preserve">) al </w:t>
            </w:r>
            <w:proofErr w:type="spellStart"/>
            <w:r w:rsidRPr="00753AFD">
              <w:rPr>
                <w:sz w:val="18"/>
                <w:szCs w:val="18"/>
                <w:lang w:val="en-US"/>
              </w:rPr>
              <w:t>opțiunilor</w:t>
            </w:r>
            <w:proofErr w:type="spellEnd"/>
            <w:r w:rsidRPr="00753AFD">
              <w:rPr>
                <w:sz w:val="18"/>
                <w:szCs w:val="18"/>
                <w:lang w:val="en-US"/>
              </w:rPr>
              <w:t xml:space="preserve"> call </w:t>
            </w:r>
            <w:proofErr w:type="spellStart"/>
            <w:r w:rsidRPr="00753AFD">
              <w:rPr>
                <w:sz w:val="18"/>
                <w:szCs w:val="18"/>
                <w:lang w:val="en-US"/>
              </w:rPr>
              <w:t>și</w:t>
            </w:r>
            <w:proofErr w:type="spellEnd"/>
            <w:r w:rsidRPr="00753AFD">
              <w:rPr>
                <w:sz w:val="18"/>
                <w:szCs w:val="18"/>
                <w:lang w:val="en-US"/>
              </w:rPr>
              <w:t xml:space="preserve"> put, </w:t>
            </w:r>
            <w:proofErr w:type="spellStart"/>
            <w:r w:rsidRPr="00753AFD">
              <w:rPr>
                <w:sz w:val="18"/>
                <w:szCs w:val="18"/>
                <w:lang w:val="en-US"/>
              </w:rPr>
              <w:t>atunci</w:t>
            </w:r>
            <w:proofErr w:type="spellEnd"/>
            <w:r w:rsidRPr="00753AFD">
              <w:rPr>
                <w:sz w:val="18"/>
                <w:szCs w:val="18"/>
                <w:lang w:val="en-US"/>
              </w:rPr>
              <w:t xml:space="preserve"> </w:t>
            </w:r>
            <w:proofErr w:type="spellStart"/>
            <w:r w:rsidRPr="00753AFD">
              <w:rPr>
                <w:sz w:val="18"/>
                <w:szCs w:val="18"/>
                <w:lang w:val="en-US"/>
              </w:rPr>
              <w:t>când</w:t>
            </w:r>
            <w:proofErr w:type="spellEnd"/>
            <w:r w:rsidRPr="00753AFD">
              <w:rPr>
                <w:sz w:val="18"/>
                <w:szCs w:val="18"/>
                <w:lang w:val="en-US"/>
              </w:rPr>
              <w:t xml:space="preserve"> sunt </w:t>
            </w:r>
            <w:proofErr w:type="spellStart"/>
            <w:r w:rsidRPr="00753AFD">
              <w:rPr>
                <w:sz w:val="18"/>
                <w:szCs w:val="18"/>
                <w:lang w:val="en-US"/>
              </w:rPr>
              <w:t>încadrate</w:t>
            </w:r>
            <w:proofErr w:type="spellEnd"/>
            <w:r w:rsidRPr="00753AFD">
              <w:rPr>
                <w:sz w:val="18"/>
                <w:szCs w:val="18"/>
                <w:lang w:val="en-US"/>
              </w:rPr>
              <w:t xml:space="preserve"> </w:t>
            </w:r>
            <w:proofErr w:type="spellStart"/>
            <w:r w:rsidRPr="00753AFD">
              <w:rPr>
                <w:sz w:val="18"/>
                <w:szCs w:val="18"/>
                <w:lang w:val="en-US"/>
              </w:rPr>
              <w:t>în</w:t>
            </w:r>
            <w:proofErr w:type="spellEnd"/>
            <w:r w:rsidRPr="00753AFD">
              <w:rPr>
                <w:sz w:val="18"/>
                <w:szCs w:val="18"/>
                <w:lang w:val="en-US"/>
              </w:rPr>
              <w:t xml:space="preserve"> </w:t>
            </w:r>
            <w:proofErr w:type="spellStart"/>
            <w:r w:rsidRPr="00753AFD">
              <w:rPr>
                <w:sz w:val="18"/>
                <w:szCs w:val="18"/>
                <w:lang w:val="en-US"/>
              </w:rPr>
              <w:t>categoria</w:t>
            </w:r>
            <w:proofErr w:type="spellEnd"/>
            <w:r w:rsidRPr="00753AFD">
              <w:rPr>
                <w:sz w:val="18"/>
                <w:szCs w:val="18"/>
                <w:lang w:val="en-US"/>
              </w:rPr>
              <w:t xml:space="preserve"> de </w:t>
            </w:r>
            <w:proofErr w:type="spellStart"/>
            <w:r w:rsidRPr="00753AFD">
              <w:rPr>
                <w:sz w:val="18"/>
                <w:szCs w:val="18"/>
                <w:lang w:val="en-US"/>
              </w:rPr>
              <w:t>risc</w:t>
            </w:r>
            <w:proofErr w:type="spellEnd"/>
            <w:r w:rsidRPr="00753AFD">
              <w:rPr>
                <w:sz w:val="18"/>
                <w:szCs w:val="18"/>
                <w:lang w:val="en-US"/>
              </w:rPr>
              <w:t xml:space="preserve"> de </w:t>
            </w:r>
            <w:proofErr w:type="spellStart"/>
            <w:r w:rsidRPr="00753AFD">
              <w:rPr>
                <w:sz w:val="18"/>
                <w:szCs w:val="18"/>
                <w:lang w:val="en-US"/>
              </w:rPr>
              <w:t>rată</w:t>
            </w:r>
            <w:proofErr w:type="spellEnd"/>
            <w:r w:rsidRPr="00753AFD">
              <w:rPr>
                <w:sz w:val="18"/>
                <w:szCs w:val="18"/>
                <w:lang w:val="en-US"/>
              </w:rPr>
              <w:t xml:space="preserve"> a </w:t>
            </w:r>
            <w:proofErr w:type="spellStart"/>
            <w:r w:rsidRPr="00753AFD">
              <w:rPr>
                <w:sz w:val="18"/>
                <w:szCs w:val="18"/>
                <w:lang w:val="en-US"/>
              </w:rPr>
              <w:t>dobânzii</w:t>
            </w:r>
            <w:proofErr w:type="spellEnd"/>
            <w:r w:rsidRPr="00753AFD">
              <w:rPr>
                <w:sz w:val="18"/>
                <w:szCs w:val="18"/>
                <w:lang w:val="en-US"/>
              </w:rPr>
              <w:t xml:space="preserve"> care </w:t>
            </w:r>
            <w:proofErr w:type="spellStart"/>
            <w:r w:rsidRPr="00753AFD">
              <w:rPr>
                <w:sz w:val="18"/>
                <w:szCs w:val="18"/>
                <w:lang w:val="en-US"/>
              </w:rPr>
              <w:t>este</w:t>
            </w:r>
            <w:proofErr w:type="spellEnd"/>
            <w:r w:rsidRPr="00753AFD">
              <w:rPr>
                <w:sz w:val="18"/>
                <w:szCs w:val="18"/>
                <w:lang w:val="en-US"/>
              </w:rPr>
              <w:t xml:space="preserve"> </w:t>
            </w:r>
            <w:proofErr w:type="spellStart"/>
            <w:r w:rsidRPr="00753AFD">
              <w:rPr>
                <w:sz w:val="18"/>
                <w:szCs w:val="18"/>
                <w:lang w:val="en-US"/>
              </w:rPr>
              <w:t>compatibilă</w:t>
            </w:r>
            <w:proofErr w:type="spellEnd"/>
            <w:r w:rsidRPr="00753AFD">
              <w:rPr>
                <w:sz w:val="18"/>
                <w:szCs w:val="18"/>
                <w:lang w:val="en-US"/>
              </w:rPr>
              <w:t xml:space="preserve"> cu </w:t>
            </w:r>
            <w:proofErr w:type="spellStart"/>
            <w:r w:rsidRPr="00753AFD">
              <w:rPr>
                <w:sz w:val="18"/>
                <w:szCs w:val="18"/>
                <w:lang w:val="en-US"/>
              </w:rPr>
              <w:t>condiții</w:t>
            </w:r>
            <w:proofErr w:type="spellEnd"/>
            <w:r w:rsidRPr="00753AFD">
              <w:rPr>
                <w:sz w:val="18"/>
                <w:szCs w:val="18"/>
                <w:lang w:val="en-US"/>
              </w:rPr>
              <w:t xml:space="preserve"> de </w:t>
            </w:r>
            <w:proofErr w:type="spellStart"/>
            <w:r w:rsidRPr="00753AFD">
              <w:rPr>
                <w:sz w:val="18"/>
                <w:szCs w:val="18"/>
                <w:lang w:val="en-US"/>
              </w:rPr>
              <w:t>piață</w:t>
            </w:r>
            <w:proofErr w:type="spellEnd"/>
            <w:r w:rsidRPr="00753AFD">
              <w:rPr>
                <w:sz w:val="18"/>
                <w:szCs w:val="18"/>
                <w:lang w:val="en-US"/>
              </w:rPr>
              <w:t xml:space="preserve"> </w:t>
            </w:r>
            <w:proofErr w:type="spellStart"/>
            <w:r w:rsidRPr="00753AFD">
              <w:rPr>
                <w:sz w:val="18"/>
                <w:szCs w:val="18"/>
                <w:lang w:val="en-US"/>
              </w:rPr>
              <w:t>în</w:t>
            </w:r>
            <w:proofErr w:type="spellEnd"/>
            <w:r w:rsidRPr="00753AFD">
              <w:rPr>
                <w:sz w:val="18"/>
                <w:szCs w:val="18"/>
                <w:lang w:val="en-US"/>
              </w:rPr>
              <w:t xml:space="preserve"> care </w:t>
            </w:r>
            <w:proofErr w:type="spellStart"/>
            <w:r w:rsidRPr="00753AFD">
              <w:rPr>
                <w:sz w:val="18"/>
                <w:szCs w:val="18"/>
                <w:lang w:val="en-US"/>
              </w:rPr>
              <w:t>ratele</w:t>
            </w:r>
            <w:proofErr w:type="spellEnd"/>
            <w:r w:rsidRPr="00753AFD">
              <w:rPr>
                <w:sz w:val="18"/>
                <w:szCs w:val="18"/>
                <w:lang w:val="en-US"/>
              </w:rPr>
              <w:t xml:space="preserve"> </w:t>
            </w:r>
            <w:proofErr w:type="spellStart"/>
            <w:r w:rsidRPr="00753AFD">
              <w:rPr>
                <w:sz w:val="18"/>
                <w:szCs w:val="18"/>
                <w:lang w:val="en-US"/>
              </w:rPr>
              <w:t>dobânzii</w:t>
            </w:r>
            <w:proofErr w:type="spellEnd"/>
            <w:r w:rsidRPr="00753AFD">
              <w:rPr>
                <w:sz w:val="18"/>
                <w:szCs w:val="18"/>
                <w:lang w:val="en-US"/>
              </w:rPr>
              <w:t xml:space="preserve"> pot fi negative, </w:t>
            </w:r>
            <w:proofErr w:type="spellStart"/>
            <w:r w:rsidRPr="00753AFD">
              <w:rPr>
                <w:sz w:val="18"/>
                <w:szCs w:val="18"/>
                <w:lang w:val="en-US"/>
              </w:rPr>
              <w:t>după</w:t>
            </w:r>
            <w:proofErr w:type="spellEnd"/>
            <w:r w:rsidRPr="00753AFD">
              <w:rPr>
                <w:sz w:val="18"/>
                <w:szCs w:val="18"/>
                <w:lang w:val="en-US"/>
              </w:rPr>
              <w:t xml:space="preserve"> cum </w:t>
            </w:r>
            <w:proofErr w:type="spellStart"/>
            <w:r w:rsidRPr="00753AFD">
              <w:rPr>
                <w:sz w:val="18"/>
                <w:szCs w:val="18"/>
                <w:lang w:val="en-US"/>
              </w:rPr>
              <w:t>urmează</w:t>
            </w:r>
            <w:proofErr w:type="spellEnd"/>
            <w:r w:rsidRPr="00753AFD">
              <w:rPr>
                <w:sz w:val="18"/>
                <w:szCs w:val="18"/>
                <w:lang w:val="en-US"/>
              </w:rPr>
              <w:t>:</w:t>
            </w:r>
          </w:p>
          <w:p w14:paraId="44231518" w14:textId="77777777" w:rsidR="002D6B17" w:rsidRPr="00753AFD" w:rsidRDefault="002D6B17" w:rsidP="002D6B17">
            <w:pPr>
              <w:jc w:val="center"/>
              <w:rPr>
                <w:sz w:val="18"/>
                <w:szCs w:val="18"/>
              </w:rPr>
            </w:pPr>
            <w:r w:rsidRPr="00753AFD">
              <w:rPr>
                <w:noProof/>
                <w:sz w:val="18"/>
                <w:szCs w:val="18"/>
              </w:rPr>
              <w:drawing>
                <wp:inline distT="0" distB="0" distL="0" distR="0" wp14:anchorId="35A6BF37" wp14:editId="6D30540D">
                  <wp:extent cx="2129169" cy="382772"/>
                  <wp:effectExtent l="0" t="0" r="4445" b="0"/>
                  <wp:docPr id="47" name="Picture 47"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34555" cy="383740"/>
                          </a:xfrm>
                          <a:prstGeom prst="rect">
                            <a:avLst/>
                          </a:prstGeom>
                          <a:noFill/>
                          <a:ln>
                            <a:noFill/>
                          </a:ln>
                        </pic:spPr>
                      </pic:pic>
                    </a:graphicData>
                  </a:graphic>
                </wp:inline>
              </w:drawing>
            </w:r>
          </w:p>
          <w:p w14:paraId="10ED12A9" w14:textId="77777777" w:rsidR="002D6B17" w:rsidRPr="00753AFD" w:rsidRDefault="002D6B17" w:rsidP="002D6B17">
            <w:pPr>
              <w:rPr>
                <w:sz w:val="18"/>
                <w:szCs w:val="18"/>
              </w:rPr>
            </w:pPr>
            <w:proofErr w:type="spellStart"/>
            <w:r w:rsidRPr="00753AFD">
              <w:rPr>
                <w:sz w:val="18"/>
                <w:szCs w:val="18"/>
              </w:rPr>
              <w:t>unde</w:t>
            </w:r>
            <w:proofErr w:type="spellEnd"/>
            <w:r w:rsidRPr="00753AFD">
              <w:rPr>
                <w:sz w:val="18"/>
                <w:szCs w:val="18"/>
              </w:rPr>
              <w:t>:</w:t>
            </w:r>
          </w:p>
          <w:p w14:paraId="71F1A82C" w14:textId="77777777" w:rsidR="002D6B17" w:rsidRPr="00753AFD" w:rsidRDefault="002D6B17" w:rsidP="002D6B17">
            <w:pPr>
              <w:rPr>
                <w:sz w:val="18"/>
                <w:szCs w:val="18"/>
              </w:rPr>
            </w:pPr>
            <w:r w:rsidRPr="00753AFD">
              <w:rPr>
                <w:noProof/>
                <w:sz w:val="18"/>
                <w:szCs w:val="18"/>
              </w:rPr>
              <w:drawing>
                <wp:inline distT="0" distB="0" distL="0" distR="0" wp14:anchorId="4F459AED" wp14:editId="7F30F2DD">
                  <wp:extent cx="2073349" cy="195907"/>
                  <wp:effectExtent l="0" t="0" r="3175" b="0"/>
                  <wp:docPr id="46" name="Picture 46"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3113" cy="199664"/>
                          </a:xfrm>
                          <a:prstGeom prst="rect">
                            <a:avLst/>
                          </a:prstGeom>
                          <a:noFill/>
                          <a:ln>
                            <a:noFill/>
                          </a:ln>
                        </pic:spPr>
                      </pic:pic>
                    </a:graphicData>
                  </a:graphic>
                </wp:inline>
              </w:drawing>
            </w:r>
          </w:p>
          <w:p w14:paraId="5ECD8476" w14:textId="77777777" w:rsidR="002D6B17" w:rsidRPr="00753AFD" w:rsidRDefault="002D6B17" w:rsidP="002D6B17">
            <w:pPr>
              <w:rPr>
                <w:sz w:val="18"/>
                <w:szCs w:val="18"/>
              </w:rPr>
            </w:pPr>
            <w:r w:rsidRPr="00753AFD">
              <w:rPr>
                <w:noProof/>
                <w:sz w:val="18"/>
                <w:szCs w:val="18"/>
              </w:rPr>
              <w:drawing>
                <wp:inline distT="0" distB="0" distL="0" distR="0" wp14:anchorId="30A63353" wp14:editId="588B25A7">
                  <wp:extent cx="2008783" cy="116249"/>
                  <wp:effectExtent l="0" t="0" r="0" b="0"/>
                  <wp:docPr id="51" name="Picture 51" descr="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6228" cy="123046"/>
                          </a:xfrm>
                          <a:prstGeom prst="rect">
                            <a:avLst/>
                          </a:prstGeom>
                          <a:noFill/>
                          <a:ln>
                            <a:noFill/>
                          </a:ln>
                        </pic:spPr>
                      </pic:pic>
                    </a:graphicData>
                  </a:graphic>
                </wp:inline>
              </w:drawing>
            </w:r>
          </w:p>
          <w:p w14:paraId="0D5F930A" w14:textId="77777777" w:rsidR="002D6B17" w:rsidRPr="00753AFD" w:rsidRDefault="002D6B17" w:rsidP="002D6B17">
            <w:pPr>
              <w:tabs>
                <w:tab w:val="left" w:pos="0"/>
              </w:tabs>
              <w:rPr>
                <w:sz w:val="18"/>
                <w:szCs w:val="18"/>
                <w:lang w:val="en-US"/>
              </w:rPr>
            </w:pPr>
            <w:r w:rsidRPr="00753AFD">
              <w:rPr>
                <w:sz w:val="18"/>
                <w:szCs w:val="18"/>
                <w:lang w:val="en-US"/>
              </w:rPr>
              <w:t xml:space="preserve">N(x) = </w:t>
            </w:r>
            <w:proofErr w:type="spellStart"/>
            <w:r w:rsidRPr="00753AFD">
              <w:rPr>
                <w:sz w:val="18"/>
                <w:szCs w:val="18"/>
                <w:lang w:val="en-US"/>
              </w:rPr>
              <w:t>funcția</w:t>
            </w:r>
            <w:proofErr w:type="spellEnd"/>
            <w:r w:rsidRPr="00753AFD">
              <w:rPr>
                <w:sz w:val="18"/>
                <w:szCs w:val="18"/>
                <w:lang w:val="en-US"/>
              </w:rPr>
              <w:t xml:space="preserve"> de </w:t>
            </w:r>
            <w:proofErr w:type="spellStart"/>
            <w:r w:rsidRPr="00753AFD">
              <w:rPr>
                <w:sz w:val="18"/>
                <w:szCs w:val="18"/>
                <w:lang w:val="en-US"/>
              </w:rPr>
              <w:t>distribuție</w:t>
            </w:r>
            <w:proofErr w:type="spellEnd"/>
            <w:r w:rsidRPr="00753AFD">
              <w:rPr>
                <w:sz w:val="18"/>
                <w:szCs w:val="18"/>
                <w:lang w:val="en-US"/>
              </w:rPr>
              <w:t xml:space="preserve"> </w:t>
            </w:r>
            <w:proofErr w:type="spellStart"/>
            <w:r w:rsidRPr="00753AFD">
              <w:rPr>
                <w:sz w:val="18"/>
                <w:szCs w:val="18"/>
                <w:lang w:val="en-US"/>
              </w:rPr>
              <w:t>cumulativă</w:t>
            </w:r>
            <w:proofErr w:type="spellEnd"/>
            <w:r w:rsidRPr="00753AFD">
              <w:rPr>
                <w:sz w:val="18"/>
                <w:szCs w:val="18"/>
                <w:lang w:val="en-US"/>
              </w:rPr>
              <w:t xml:space="preserve"> a </w:t>
            </w:r>
            <w:proofErr w:type="spellStart"/>
            <w:r w:rsidRPr="00753AFD">
              <w:rPr>
                <w:sz w:val="18"/>
                <w:szCs w:val="18"/>
                <w:lang w:val="en-US"/>
              </w:rPr>
              <w:t>unei</w:t>
            </w:r>
            <w:proofErr w:type="spellEnd"/>
            <w:r w:rsidRPr="00753AFD">
              <w:rPr>
                <w:sz w:val="18"/>
                <w:szCs w:val="18"/>
                <w:lang w:val="en-US"/>
              </w:rPr>
              <w:t xml:space="preserve"> </w:t>
            </w:r>
            <w:proofErr w:type="spellStart"/>
            <w:r w:rsidRPr="00753AFD">
              <w:rPr>
                <w:sz w:val="18"/>
                <w:szCs w:val="18"/>
                <w:lang w:val="en-US"/>
              </w:rPr>
              <w:t>variabile</w:t>
            </w:r>
            <w:proofErr w:type="spellEnd"/>
            <w:r w:rsidRPr="00753AFD">
              <w:rPr>
                <w:sz w:val="18"/>
                <w:szCs w:val="18"/>
                <w:lang w:val="en-US"/>
              </w:rPr>
              <w:t xml:space="preserve"> </w:t>
            </w:r>
            <w:proofErr w:type="spellStart"/>
            <w:r w:rsidRPr="00753AFD">
              <w:rPr>
                <w:sz w:val="18"/>
                <w:szCs w:val="18"/>
                <w:lang w:val="en-US"/>
              </w:rPr>
              <w:t>aleatoare</w:t>
            </w:r>
            <w:proofErr w:type="spellEnd"/>
            <w:r w:rsidRPr="00753AFD">
              <w:rPr>
                <w:sz w:val="18"/>
                <w:szCs w:val="18"/>
                <w:lang w:val="en-US"/>
              </w:rPr>
              <w:t xml:space="preserve"> </w:t>
            </w:r>
            <w:proofErr w:type="spellStart"/>
            <w:r w:rsidRPr="00753AFD">
              <w:rPr>
                <w:sz w:val="18"/>
                <w:szCs w:val="18"/>
                <w:lang w:val="en-US"/>
              </w:rPr>
              <w:t>normale</w:t>
            </w:r>
            <w:proofErr w:type="spellEnd"/>
            <w:r w:rsidRPr="00753AFD">
              <w:rPr>
                <w:sz w:val="18"/>
                <w:szCs w:val="18"/>
                <w:lang w:val="en-US"/>
              </w:rPr>
              <w:t xml:space="preserve"> standard care </w:t>
            </w:r>
            <w:proofErr w:type="spellStart"/>
            <w:r w:rsidRPr="00753AFD">
              <w:rPr>
                <w:sz w:val="18"/>
                <w:szCs w:val="18"/>
                <w:lang w:val="en-US"/>
              </w:rPr>
              <w:t>exprimă</w:t>
            </w:r>
            <w:proofErr w:type="spellEnd"/>
            <w:r w:rsidRPr="00753AFD">
              <w:rPr>
                <w:sz w:val="18"/>
                <w:szCs w:val="18"/>
                <w:lang w:val="en-US"/>
              </w:rPr>
              <w:t xml:space="preserve"> </w:t>
            </w:r>
            <w:proofErr w:type="spellStart"/>
            <w:r w:rsidRPr="00753AFD">
              <w:rPr>
                <w:sz w:val="18"/>
                <w:szCs w:val="18"/>
                <w:lang w:val="en-US"/>
              </w:rPr>
              <w:t>probabilitatea</w:t>
            </w:r>
            <w:proofErr w:type="spellEnd"/>
            <w:r w:rsidRPr="00753AFD">
              <w:rPr>
                <w:sz w:val="18"/>
                <w:szCs w:val="18"/>
                <w:lang w:val="en-US"/>
              </w:rPr>
              <w:t xml:space="preserve"> ca o </w:t>
            </w:r>
            <w:proofErr w:type="spellStart"/>
            <w:r w:rsidRPr="00753AFD">
              <w:rPr>
                <w:sz w:val="18"/>
                <w:szCs w:val="18"/>
                <w:lang w:val="en-US"/>
              </w:rPr>
              <w:t>variabilă</w:t>
            </w:r>
            <w:proofErr w:type="spellEnd"/>
            <w:r w:rsidRPr="00753AFD">
              <w:rPr>
                <w:sz w:val="18"/>
                <w:szCs w:val="18"/>
                <w:lang w:val="en-US"/>
              </w:rPr>
              <w:t xml:space="preserve"> </w:t>
            </w:r>
            <w:proofErr w:type="spellStart"/>
            <w:r w:rsidRPr="00753AFD">
              <w:rPr>
                <w:sz w:val="18"/>
                <w:szCs w:val="18"/>
                <w:lang w:val="en-US"/>
              </w:rPr>
              <w:t>aleatoare</w:t>
            </w:r>
            <w:proofErr w:type="spellEnd"/>
            <w:r w:rsidRPr="00753AFD">
              <w:rPr>
                <w:sz w:val="18"/>
                <w:szCs w:val="18"/>
                <w:lang w:val="en-US"/>
              </w:rPr>
              <w:t xml:space="preserve"> normal </w:t>
            </w:r>
            <w:proofErr w:type="spellStart"/>
            <w:r w:rsidRPr="00753AFD">
              <w:rPr>
                <w:sz w:val="18"/>
                <w:szCs w:val="18"/>
                <w:lang w:val="en-US"/>
              </w:rPr>
              <w:t>distribuită</w:t>
            </w:r>
            <w:proofErr w:type="spellEnd"/>
            <w:r w:rsidRPr="00753AFD">
              <w:rPr>
                <w:sz w:val="18"/>
                <w:szCs w:val="18"/>
                <w:lang w:val="en-US"/>
              </w:rPr>
              <w:t xml:space="preserve">, cu media zero </w:t>
            </w:r>
            <w:proofErr w:type="spellStart"/>
            <w:r w:rsidRPr="00753AFD">
              <w:rPr>
                <w:sz w:val="18"/>
                <w:szCs w:val="18"/>
                <w:lang w:val="en-US"/>
              </w:rPr>
              <w:t>și</w:t>
            </w:r>
            <w:proofErr w:type="spellEnd"/>
            <w:r w:rsidRPr="00753AFD">
              <w:rPr>
                <w:sz w:val="18"/>
                <w:szCs w:val="18"/>
                <w:lang w:val="en-US"/>
              </w:rPr>
              <w:t xml:space="preserve"> </w:t>
            </w:r>
            <w:proofErr w:type="spellStart"/>
            <w:r w:rsidRPr="00753AFD">
              <w:rPr>
                <w:sz w:val="18"/>
                <w:szCs w:val="18"/>
                <w:lang w:val="en-US"/>
              </w:rPr>
              <w:t>varianța</w:t>
            </w:r>
            <w:proofErr w:type="spellEnd"/>
            <w:r w:rsidRPr="00753AFD">
              <w:rPr>
                <w:sz w:val="18"/>
                <w:szCs w:val="18"/>
                <w:lang w:val="en-US"/>
              </w:rPr>
              <w:t xml:space="preserve"> 1, </w:t>
            </w:r>
            <w:proofErr w:type="spellStart"/>
            <w:r w:rsidRPr="00753AFD">
              <w:rPr>
                <w:sz w:val="18"/>
                <w:szCs w:val="18"/>
                <w:lang w:val="en-US"/>
              </w:rPr>
              <w:t>să</w:t>
            </w:r>
            <w:proofErr w:type="spellEnd"/>
            <w:r w:rsidRPr="00753AFD">
              <w:rPr>
                <w:sz w:val="18"/>
                <w:szCs w:val="18"/>
                <w:lang w:val="en-US"/>
              </w:rPr>
              <w:t xml:space="preserve"> fie </w:t>
            </w:r>
            <w:proofErr w:type="spellStart"/>
            <w:r w:rsidRPr="00753AFD">
              <w:rPr>
                <w:sz w:val="18"/>
                <w:szCs w:val="18"/>
                <w:lang w:val="en-US"/>
              </w:rPr>
              <w:t>mai</w:t>
            </w:r>
            <w:proofErr w:type="spellEnd"/>
            <w:r w:rsidRPr="00753AFD">
              <w:rPr>
                <w:sz w:val="18"/>
                <w:szCs w:val="18"/>
                <w:lang w:val="en-US"/>
              </w:rPr>
              <w:t xml:space="preserve"> </w:t>
            </w:r>
            <w:proofErr w:type="spellStart"/>
            <w:r w:rsidRPr="00753AFD">
              <w:rPr>
                <w:sz w:val="18"/>
                <w:szCs w:val="18"/>
                <w:lang w:val="en-US"/>
              </w:rPr>
              <w:t>mică</w:t>
            </w:r>
            <w:proofErr w:type="spellEnd"/>
            <w:r w:rsidRPr="00753AFD">
              <w:rPr>
                <w:sz w:val="18"/>
                <w:szCs w:val="18"/>
                <w:lang w:val="en-US"/>
              </w:rPr>
              <w:t xml:space="preserve"> </w:t>
            </w:r>
            <w:proofErr w:type="spellStart"/>
            <w:r w:rsidRPr="00753AFD">
              <w:rPr>
                <w:sz w:val="18"/>
                <w:szCs w:val="18"/>
                <w:lang w:val="en-US"/>
              </w:rPr>
              <w:t>sau</w:t>
            </w:r>
            <w:proofErr w:type="spellEnd"/>
            <w:r w:rsidRPr="00753AFD">
              <w:rPr>
                <w:sz w:val="18"/>
                <w:szCs w:val="18"/>
                <w:lang w:val="en-US"/>
              </w:rPr>
              <w:t xml:space="preserve"> </w:t>
            </w:r>
            <w:proofErr w:type="spellStart"/>
            <w:r w:rsidRPr="00753AFD">
              <w:rPr>
                <w:sz w:val="18"/>
                <w:szCs w:val="18"/>
                <w:lang w:val="en-US"/>
              </w:rPr>
              <w:t>egală</w:t>
            </w:r>
            <w:proofErr w:type="spellEnd"/>
            <w:r w:rsidRPr="00753AFD">
              <w:rPr>
                <w:sz w:val="18"/>
                <w:szCs w:val="18"/>
                <w:lang w:val="en-US"/>
              </w:rPr>
              <w:t xml:space="preserve"> cu „x</w:t>
            </w:r>
            <w:proofErr w:type="gramStart"/>
            <w:r w:rsidRPr="00753AFD">
              <w:rPr>
                <w:sz w:val="18"/>
                <w:szCs w:val="18"/>
                <w:lang w:val="en-US"/>
              </w:rPr>
              <w:t>”;</w:t>
            </w:r>
            <w:proofErr w:type="gramEnd"/>
          </w:p>
          <w:p w14:paraId="269896E3" w14:textId="77777777" w:rsidR="002D6B17" w:rsidRPr="00753AFD" w:rsidRDefault="002D6B17" w:rsidP="002D6B17">
            <w:pPr>
              <w:tabs>
                <w:tab w:val="left" w:pos="0"/>
              </w:tabs>
              <w:rPr>
                <w:sz w:val="18"/>
                <w:szCs w:val="18"/>
                <w:lang w:val="en-US"/>
              </w:rPr>
            </w:pPr>
            <w:r w:rsidRPr="00753AFD">
              <w:rPr>
                <w:sz w:val="18"/>
                <w:szCs w:val="18"/>
                <w:lang w:val="en-US"/>
              </w:rPr>
              <w:t xml:space="preserve">P = </w:t>
            </w:r>
            <w:proofErr w:type="spellStart"/>
            <w:r w:rsidRPr="00753AFD">
              <w:rPr>
                <w:sz w:val="18"/>
                <w:szCs w:val="18"/>
                <w:lang w:val="en-US"/>
              </w:rPr>
              <w:t>prețul</w:t>
            </w:r>
            <w:proofErr w:type="spellEnd"/>
            <w:r w:rsidRPr="00753AFD">
              <w:rPr>
                <w:sz w:val="18"/>
                <w:szCs w:val="18"/>
                <w:lang w:val="en-US"/>
              </w:rPr>
              <w:t xml:space="preserve"> la </w:t>
            </w:r>
            <w:proofErr w:type="spellStart"/>
            <w:r w:rsidRPr="00753AFD">
              <w:rPr>
                <w:sz w:val="18"/>
                <w:szCs w:val="18"/>
                <w:lang w:val="en-US"/>
              </w:rPr>
              <w:t>vedere</w:t>
            </w:r>
            <w:proofErr w:type="spellEnd"/>
            <w:r w:rsidRPr="00753AFD">
              <w:rPr>
                <w:sz w:val="18"/>
                <w:szCs w:val="18"/>
                <w:lang w:val="en-US"/>
              </w:rPr>
              <w:t xml:space="preserve"> </w:t>
            </w:r>
            <w:proofErr w:type="spellStart"/>
            <w:r w:rsidRPr="00753AFD">
              <w:rPr>
                <w:sz w:val="18"/>
                <w:szCs w:val="18"/>
                <w:lang w:val="en-US"/>
              </w:rPr>
              <w:t>sau</w:t>
            </w:r>
            <w:proofErr w:type="spellEnd"/>
            <w:r w:rsidRPr="00753AFD">
              <w:rPr>
                <w:sz w:val="18"/>
                <w:szCs w:val="18"/>
                <w:lang w:val="en-US"/>
              </w:rPr>
              <w:t xml:space="preserve"> la termen al </w:t>
            </w:r>
            <w:proofErr w:type="spellStart"/>
            <w:r w:rsidRPr="00753AFD">
              <w:rPr>
                <w:sz w:val="18"/>
                <w:szCs w:val="18"/>
                <w:lang w:val="en-US"/>
              </w:rPr>
              <w:t>instrumentului-suport</w:t>
            </w:r>
            <w:proofErr w:type="spellEnd"/>
            <w:r w:rsidRPr="00753AFD">
              <w:rPr>
                <w:sz w:val="18"/>
                <w:szCs w:val="18"/>
                <w:lang w:val="en-US"/>
              </w:rPr>
              <w:t xml:space="preserve"> al </w:t>
            </w:r>
            <w:proofErr w:type="spellStart"/>
            <w:proofErr w:type="gramStart"/>
            <w:r w:rsidRPr="00753AFD">
              <w:rPr>
                <w:sz w:val="18"/>
                <w:szCs w:val="18"/>
                <w:lang w:val="en-US"/>
              </w:rPr>
              <w:t>opțiunii</w:t>
            </w:r>
            <w:proofErr w:type="spellEnd"/>
            <w:r w:rsidRPr="00753AFD">
              <w:rPr>
                <w:sz w:val="18"/>
                <w:szCs w:val="18"/>
                <w:lang w:val="en-US"/>
              </w:rPr>
              <w:t>;</w:t>
            </w:r>
            <w:proofErr w:type="gramEnd"/>
          </w:p>
          <w:p w14:paraId="46E15B68" w14:textId="77777777" w:rsidR="002D6B17" w:rsidRPr="00753AFD" w:rsidRDefault="002D6B17" w:rsidP="002D6B17">
            <w:pPr>
              <w:tabs>
                <w:tab w:val="left" w:pos="0"/>
              </w:tabs>
              <w:rPr>
                <w:sz w:val="18"/>
                <w:szCs w:val="18"/>
                <w:lang w:val="en-US"/>
              </w:rPr>
            </w:pPr>
            <w:r w:rsidRPr="00753AFD">
              <w:rPr>
                <w:sz w:val="18"/>
                <w:szCs w:val="18"/>
                <w:lang w:val="en-US"/>
              </w:rPr>
              <w:t xml:space="preserve">K = </w:t>
            </w:r>
            <w:proofErr w:type="spellStart"/>
            <w:r w:rsidRPr="00753AFD">
              <w:rPr>
                <w:sz w:val="18"/>
                <w:szCs w:val="18"/>
                <w:lang w:val="en-US"/>
              </w:rPr>
              <w:t>prețul</w:t>
            </w:r>
            <w:proofErr w:type="spellEnd"/>
            <w:r w:rsidRPr="00753AFD">
              <w:rPr>
                <w:sz w:val="18"/>
                <w:szCs w:val="18"/>
                <w:lang w:val="en-US"/>
              </w:rPr>
              <w:t xml:space="preserve"> de </w:t>
            </w:r>
            <w:proofErr w:type="spellStart"/>
            <w:r w:rsidRPr="00753AFD">
              <w:rPr>
                <w:sz w:val="18"/>
                <w:szCs w:val="18"/>
                <w:lang w:val="en-US"/>
              </w:rPr>
              <w:t>exercitare</w:t>
            </w:r>
            <w:proofErr w:type="spellEnd"/>
            <w:r w:rsidRPr="00753AFD">
              <w:rPr>
                <w:sz w:val="18"/>
                <w:szCs w:val="18"/>
                <w:lang w:val="en-US"/>
              </w:rPr>
              <w:t xml:space="preserve"> a </w:t>
            </w:r>
            <w:proofErr w:type="spellStart"/>
            <w:proofErr w:type="gramStart"/>
            <w:r w:rsidRPr="00753AFD">
              <w:rPr>
                <w:sz w:val="18"/>
                <w:szCs w:val="18"/>
                <w:lang w:val="en-US"/>
              </w:rPr>
              <w:t>opțiunii</w:t>
            </w:r>
            <w:proofErr w:type="spellEnd"/>
            <w:r w:rsidRPr="00753AFD">
              <w:rPr>
                <w:sz w:val="18"/>
                <w:szCs w:val="18"/>
                <w:lang w:val="en-US"/>
              </w:rPr>
              <w:t>;</w:t>
            </w:r>
            <w:proofErr w:type="gramEnd"/>
          </w:p>
          <w:p w14:paraId="4E7C6F8F" w14:textId="77777777" w:rsidR="002D6B17" w:rsidRPr="00753AFD" w:rsidRDefault="002D6B17" w:rsidP="002D6B17">
            <w:pPr>
              <w:tabs>
                <w:tab w:val="left" w:pos="0"/>
              </w:tabs>
              <w:rPr>
                <w:sz w:val="18"/>
                <w:szCs w:val="18"/>
                <w:lang w:val="en-US"/>
              </w:rPr>
            </w:pPr>
            <w:r w:rsidRPr="00753AFD">
              <w:rPr>
                <w:sz w:val="18"/>
                <w:szCs w:val="18"/>
                <w:lang w:val="en-US"/>
              </w:rPr>
              <w:t xml:space="preserve">T = data de </w:t>
            </w:r>
            <w:proofErr w:type="spellStart"/>
            <w:r w:rsidRPr="00753AFD">
              <w:rPr>
                <w:sz w:val="18"/>
                <w:szCs w:val="18"/>
                <w:lang w:val="en-US"/>
              </w:rPr>
              <w:t>expirare</w:t>
            </w:r>
            <w:proofErr w:type="spellEnd"/>
            <w:r w:rsidRPr="00753AFD">
              <w:rPr>
                <w:sz w:val="18"/>
                <w:szCs w:val="18"/>
                <w:lang w:val="en-US"/>
              </w:rPr>
              <w:t xml:space="preserve"> </w:t>
            </w:r>
            <w:proofErr w:type="gramStart"/>
            <w:r w:rsidRPr="00753AFD">
              <w:rPr>
                <w:sz w:val="18"/>
                <w:szCs w:val="18"/>
                <w:lang w:val="en-US"/>
              </w:rPr>
              <w:t>a</w:t>
            </w:r>
            <w:proofErr w:type="gramEnd"/>
            <w:r w:rsidRPr="00753AFD">
              <w:rPr>
                <w:sz w:val="18"/>
                <w:szCs w:val="18"/>
                <w:lang w:val="en-US"/>
              </w:rPr>
              <w:t xml:space="preserve"> </w:t>
            </w:r>
            <w:proofErr w:type="spellStart"/>
            <w:r w:rsidRPr="00753AFD">
              <w:rPr>
                <w:sz w:val="18"/>
                <w:szCs w:val="18"/>
                <w:lang w:val="en-US"/>
              </w:rPr>
              <w:t>opțiunii</w:t>
            </w:r>
            <w:proofErr w:type="spellEnd"/>
            <w:r w:rsidRPr="00753AFD">
              <w:rPr>
                <w:sz w:val="18"/>
                <w:szCs w:val="18"/>
                <w:lang w:val="en-US"/>
              </w:rPr>
              <w:t xml:space="preserve">, </w:t>
            </w:r>
            <w:proofErr w:type="spellStart"/>
            <w:r w:rsidRPr="00753AFD">
              <w:rPr>
                <w:sz w:val="18"/>
                <w:szCs w:val="18"/>
                <w:lang w:val="en-US"/>
              </w:rPr>
              <w:t>exprimată</w:t>
            </w:r>
            <w:proofErr w:type="spellEnd"/>
            <w:r w:rsidRPr="00753AFD">
              <w:rPr>
                <w:sz w:val="18"/>
                <w:szCs w:val="18"/>
                <w:lang w:val="en-US"/>
              </w:rPr>
              <w:t xml:space="preserve"> </w:t>
            </w:r>
            <w:proofErr w:type="spellStart"/>
            <w:r w:rsidRPr="00753AFD">
              <w:rPr>
                <w:sz w:val="18"/>
                <w:szCs w:val="18"/>
                <w:lang w:val="en-US"/>
              </w:rPr>
              <w:t>în</w:t>
            </w:r>
            <w:proofErr w:type="spellEnd"/>
            <w:r w:rsidRPr="00753AFD">
              <w:rPr>
                <w:sz w:val="18"/>
                <w:szCs w:val="18"/>
                <w:lang w:val="en-US"/>
              </w:rPr>
              <w:t xml:space="preserve"> ani </w:t>
            </w:r>
            <w:proofErr w:type="spellStart"/>
            <w:r w:rsidRPr="00753AFD">
              <w:rPr>
                <w:sz w:val="18"/>
                <w:szCs w:val="18"/>
                <w:lang w:val="en-US"/>
              </w:rPr>
              <w:t>utilizând</w:t>
            </w:r>
            <w:proofErr w:type="spellEnd"/>
            <w:r w:rsidRPr="00753AFD">
              <w:rPr>
                <w:sz w:val="18"/>
                <w:szCs w:val="18"/>
                <w:lang w:val="en-US"/>
              </w:rPr>
              <w:t xml:space="preserve"> </w:t>
            </w:r>
            <w:proofErr w:type="spellStart"/>
            <w:r w:rsidRPr="00753AFD">
              <w:rPr>
                <w:sz w:val="18"/>
                <w:szCs w:val="18"/>
                <w:lang w:val="en-US"/>
              </w:rPr>
              <w:t>convenția</w:t>
            </w:r>
            <w:proofErr w:type="spellEnd"/>
            <w:r w:rsidRPr="00753AFD">
              <w:rPr>
                <w:sz w:val="18"/>
                <w:szCs w:val="18"/>
                <w:lang w:val="en-US"/>
              </w:rPr>
              <w:t xml:space="preserve"> </w:t>
            </w:r>
            <w:proofErr w:type="spellStart"/>
            <w:r w:rsidRPr="00753AFD">
              <w:rPr>
                <w:sz w:val="18"/>
                <w:szCs w:val="18"/>
                <w:lang w:val="en-US"/>
              </w:rPr>
              <w:t>relevantă</w:t>
            </w:r>
            <w:proofErr w:type="spellEnd"/>
            <w:r w:rsidRPr="00753AFD">
              <w:rPr>
                <w:sz w:val="18"/>
                <w:szCs w:val="18"/>
                <w:lang w:val="en-US"/>
              </w:rPr>
              <w:t xml:space="preserve"> </w:t>
            </w:r>
            <w:proofErr w:type="spellStart"/>
            <w:r w:rsidRPr="00753AFD">
              <w:rPr>
                <w:sz w:val="18"/>
                <w:szCs w:val="18"/>
                <w:lang w:val="en-US"/>
              </w:rPr>
              <w:t>privind</w:t>
            </w:r>
            <w:proofErr w:type="spellEnd"/>
            <w:r w:rsidRPr="00753AFD">
              <w:rPr>
                <w:sz w:val="18"/>
                <w:szCs w:val="18"/>
                <w:lang w:val="en-US"/>
              </w:rPr>
              <w:t xml:space="preserve"> </w:t>
            </w:r>
            <w:proofErr w:type="spellStart"/>
            <w:r w:rsidRPr="00753AFD">
              <w:rPr>
                <w:sz w:val="18"/>
                <w:szCs w:val="18"/>
                <w:lang w:val="en-US"/>
              </w:rPr>
              <w:t>zilele</w:t>
            </w:r>
            <w:proofErr w:type="spellEnd"/>
            <w:r w:rsidRPr="00753AFD">
              <w:rPr>
                <w:sz w:val="18"/>
                <w:szCs w:val="18"/>
                <w:lang w:val="en-US"/>
              </w:rPr>
              <w:t xml:space="preserve"> </w:t>
            </w:r>
            <w:proofErr w:type="spellStart"/>
            <w:proofErr w:type="gramStart"/>
            <w:r w:rsidRPr="00753AFD">
              <w:rPr>
                <w:sz w:val="18"/>
                <w:szCs w:val="18"/>
                <w:lang w:val="en-US"/>
              </w:rPr>
              <w:t>lucrătoare</w:t>
            </w:r>
            <w:proofErr w:type="spellEnd"/>
            <w:r w:rsidRPr="00753AFD">
              <w:rPr>
                <w:sz w:val="18"/>
                <w:szCs w:val="18"/>
                <w:lang w:val="en-US"/>
              </w:rPr>
              <w:t>;</w:t>
            </w:r>
            <w:proofErr w:type="gramEnd"/>
          </w:p>
          <w:p w14:paraId="16D0A56E" w14:textId="77777777" w:rsidR="002D6B17" w:rsidRPr="00753AFD" w:rsidRDefault="002D6B17" w:rsidP="002D6B17">
            <w:pPr>
              <w:tabs>
                <w:tab w:val="left" w:pos="0"/>
              </w:tabs>
              <w:rPr>
                <w:sz w:val="18"/>
                <w:szCs w:val="18"/>
                <w:lang w:val="en-US"/>
              </w:rPr>
            </w:pPr>
            <w:r w:rsidRPr="00753AFD">
              <w:rPr>
                <w:sz w:val="18"/>
                <w:szCs w:val="18"/>
              </w:rPr>
              <w:t>λ</w:t>
            </w:r>
            <w:r w:rsidRPr="00753AFD">
              <w:rPr>
                <w:sz w:val="18"/>
                <w:szCs w:val="18"/>
                <w:lang w:val="en-US"/>
              </w:rPr>
              <w:t xml:space="preserve"> = </w:t>
            </w:r>
            <w:proofErr w:type="spellStart"/>
            <w:r w:rsidRPr="00753AFD">
              <w:rPr>
                <w:sz w:val="18"/>
                <w:szCs w:val="18"/>
                <w:lang w:val="en-US"/>
              </w:rPr>
              <w:t>factorul</w:t>
            </w:r>
            <w:proofErr w:type="spellEnd"/>
            <w:r w:rsidRPr="00753AFD">
              <w:rPr>
                <w:sz w:val="18"/>
                <w:szCs w:val="18"/>
                <w:lang w:val="en-US"/>
              </w:rPr>
              <w:t xml:space="preserve"> de </w:t>
            </w:r>
            <w:proofErr w:type="spellStart"/>
            <w:r w:rsidRPr="00753AFD">
              <w:rPr>
                <w:sz w:val="18"/>
                <w:szCs w:val="18"/>
                <w:lang w:val="en-US"/>
              </w:rPr>
              <w:t>decalare</w:t>
            </w:r>
            <w:proofErr w:type="spellEnd"/>
            <w:r w:rsidRPr="00753AFD">
              <w:rPr>
                <w:sz w:val="18"/>
                <w:szCs w:val="18"/>
                <w:lang w:val="en-US"/>
              </w:rPr>
              <w:t xml:space="preserve"> </w:t>
            </w:r>
            <w:proofErr w:type="spellStart"/>
            <w:r w:rsidRPr="00753AFD">
              <w:rPr>
                <w:sz w:val="18"/>
                <w:szCs w:val="18"/>
                <w:lang w:val="en-US"/>
              </w:rPr>
              <w:t>adecvat</w:t>
            </w:r>
            <w:proofErr w:type="spellEnd"/>
            <w:r w:rsidRPr="00753AFD">
              <w:rPr>
                <w:sz w:val="18"/>
                <w:szCs w:val="18"/>
                <w:lang w:val="en-US"/>
              </w:rPr>
              <w:t xml:space="preserve"> </w:t>
            </w:r>
            <w:proofErr w:type="spellStart"/>
            <w:r w:rsidRPr="00753AFD">
              <w:rPr>
                <w:sz w:val="18"/>
                <w:szCs w:val="18"/>
                <w:lang w:val="en-US"/>
              </w:rPr>
              <w:t>pentru</w:t>
            </w:r>
            <w:proofErr w:type="spellEnd"/>
            <w:r w:rsidRPr="00753AFD">
              <w:rPr>
                <w:sz w:val="18"/>
                <w:szCs w:val="18"/>
                <w:lang w:val="en-US"/>
              </w:rPr>
              <w:t xml:space="preserve"> a </w:t>
            </w:r>
            <w:proofErr w:type="spellStart"/>
            <w:r w:rsidRPr="00753AFD">
              <w:rPr>
                <w:sz w:val="18"/>
                <w:szCs w:val="18"/>
                <w:lang w:val="en-US"/>
              </w:rPr>
              <w:t>transforma</w:t>
            </w:r>
            <w:proofErr w:type="spellEnd"/>
            <w:r w:rsidRPr="00753AFD">
              <w:rPr>
                <w:sz w:val="18"/>
                <w:szCs w:val="18"/>
                <w:lang w:val="en-US"/>
              </w:rPr>
              <w:t xml:space="preserve"> </w:t>
            </w:r>
            <w:proofErr w:type="spellStart"/>
            <w:r w:rsidRPr="00753AFD">
              <w:rPr>
                <w:sz w:val="18"/>
                <w:szCs w:val="18"/>
                <w:lang w:val="en-US"/>
              </w:rPr>
              <w:t>atât</w:t>
            </w:r>
            <w:proofErr w:type="spellEnd"/>
            <w:r w:rsidRPr="00753AFD">
              <w:rPr>
                <w:sz w:val="18"/>
                <w:szCs w:val="18"/>
                <w:lang w:val="en-US"/>
              </w:rPr>
              <w:t xml:space="preserve"> P, </w:t>
            </w:r>
            <w:proofErr w:type="spellStart"/>
            <w:r w:rsidRPr="00753AFD">
              <w:rPr>
                <w:sz w:val="18"/>
                <w:szCs w:val="18"/>
                <w:lang w:val="en-US"/>
              </w:rPr>
              <w:t>cât</w:t>
            </w:r>
            <w:proofErr w:type="spellEnd"/>
            <w:r w:rsidRPr="00753AFD">
              <w:rPr>
                <w:sz w:val="18"/>
                <w:szCs w:val="18"/>
                <w:lang w:val="en-US"/>
              </w:rPr>
              <w:t xml:space="preserve"> </w:t>
            </w:r>
            <w:proofErr w:type="spellStart"/>
            <w:r w:rsidRPr="00753AFD">
              <w:rPr>
                <w:sz w:val="18"/>
                <w:szCs w:val="18"/>
                <w:lang w:val="en-US"/>
              </w:rPr>
              <w:t>și</w:t>
            </w:r>
            <w:proofErr w:type="spellEnd"/>
            <w:r w:rsidRPr="00753AFD">
              <w:rPr>
                <w:sz w:val="18"/>
                <w:szCs w:val="18"/>
                <w:lang w:val="en-US"/>
              </w:rPr>
              <w:t xml:space="preserve"> K </w:t>
            </w:r>
            <w:proofErr w:type="spellStart"/>
            <w:r w:rsidRPr="00753AFD">
              <w:rPr>
                <w:sz w:val="18"/>
                <w:szCs w:val="18"/>
                <w:lang w:val="en-US"/>
              </w:rPr>
              <w:t>în</w:t>
            </w:r>
            <w:proofErr w:type="spellEnd"/>
            <w:r w:rsidRPr="00753AFD">
              <w:rPr>
                <w:sz w:val="18"/>
                <w:szCs w:val="18"/>
                <w:lang w:val="en-US"/>
              </w:rPr>
              <w:t xml:space="preserve"> </w:t>
            </w:r>
            <w:proofErr w:type="spellStart"/>
            <w:r w:rsidRPr="00753AFD">
              <w:rPr>
                <w:sz w:val="18"/>
                <w:szCs w:val="18"/>
                <w:lang w:val="en-US"/>
              </w:rPr>
              <w:t>valori</w:t>
            </w:r>
            <w:proofErr w:type="spellEnd"/>
            <w:r w:rsidRPr="00753AFD">
              <w:rPr>
                <w:sz w:val="18"/>
                <w:szCs w:val="18"/>
                <w:lang w:val="en-US"/>
              </w:rPr>
              <w:t xml:space="preserve"> </w:t>
            </w:r>
            <w:proofErr w:type="spellStart"/>
            <w:r w:rsidRPr="00753AFD">
              <w:rPr>
                <w:sz w:val="18"/>
                <w:szCs w:val="18"/>
                <w:lang w:val="en-US"/>
              </w:rPr>
              <w:t>pozitive</w:t>
            </w:r>
            <w:proofErr w:type="spellEnd"/>
            <w:r w:rsidRPr="00753AFD">
              <w:rPr>
                <w:sz w:val="18"/>
                <w:szCs w:val="18"/>
                <w:lang w:val="en-US"/>
              </w:rPr>
              <w:t xml:space="preserve">, </w:t>
            </w:r>
            <w:proofErr w:type="spellStart"/>
            <w:r w:rsidRPr="00753AFD">
              <w:rPr>
                <w:sz w:val="18"/>
                <w:szCs w:val="18"/>
                <w:lang w:val="en-US"/>
              </w:rPr>
              <w:lastRenderedPageBreak/>
              <w:t>determinat</w:t>
            </w:r>
            <w:proofErr w:type="spellEnd"/>
            <w:r w:rsidRPr="00753AFD">
              <w:rPr>
                <w:sz w:val="18"/>
                <w:szCs w:val="18"/>
                <w:lang w:val="en-US"/>
              </w:rPr>
              <w:t xml:space="preserve"> </w:t>
            </w:r>
            <w:proofErr w:type="spellStart"/>
            <w:r w:rsidRPr="00753AFD">
              <w:rPr>
                <w:sz w:val="18"/>
                <w:szCs w:val="18"/>
                <w:lang w:val="en-US"/>
              </w:rPr>
              <w:t>în</w:t>
            </w:r>
            <w:proofErr w:type="spellEnd"/>
            <w:r w:rsidRPr="00753AFD">
              <w:rPr>
                <w:sz w:val="18"/>
                <w:szCs w:val="18"/>
                <w:lang w:val="en-US"/>
              </w:rPr>
              <w:t xml:space="preserve"> </w:t>
            </w:r>
            <w:proofErr w:type="spellStart"/>
            <w:r w:rsidRPr="00753AFD">
              <w:rPr>
                <w:sz w:val="18"/>
                <w:szCs w:val="18"/>
                <w:lang w:val="en-US"/>
              </w:rPr>
              <w:t>conformitate</w:t>
            </w:r>
            <w:proofErr w:type="spellEnd"/>
            <w:r w:rsidRPr="00753AFD">
              <w:rPr>
                <w:sz w:val="18"/>
                <w:szCs w:val="18"/>
                <w:lang w:val="en-US"/>
              </w:rPr>
              <w:t xml:space="preserve"> cu </w:t>
            </w:r>
            <w:proofErr w:type="spellStart"/>
            <w:r w:rsidRPr="00753AFD">
              <w:rPr>
                <w:sz w:val="18"/>
                <w:szCs w:val="18"/>
                <w:lang w:val="en-US"/>
              </w:rPr>
              <w:t>punctul</w:t>
            </w:r>
            <w:proofErr w:type="spellEnd"/>
            <w:r w:rsidRPr="00753AFD">
              <w:rPr>
                <w:sz w:val="18"/>
                <w:szCs w:val="18"/>
                <w:lang w:val="en-US"/>
              </w:rPr>
              <w:t xml:space="preserve"> 11 din </w:t>
            </w:r>
            <w:proofErr w:type="spellStart"/>
            <w:r w:rsidRPr="00753AFD">
              <w:rPr>
                <w:sz w:val="18"/>
                <w:szCs w:val="18"/>
                <w:lang w:val="en-US"/>
              </w:rPr>
              <w:t>prezenta</w:t>
            </w:r>
            <w:proofErr w:type="spellEnd"/>
            <w:r w:rsidRPr="00753AFD">
              <w:rPr>
                <w:sz w:val="18"/>
                <w:szCs w:val="18"/>
                <w:lang w:val="en-US"/>
              </w:rPr>
              <w:t xml:space="preserve"> </w:t>
            </w:r>
            <w:proofErr w:type="spellStart"/>
            <w:r w:rsidRPr="00753AFD">
              <w:rPr>
                <w:sz w:val="18"/>
                <w:szCs w:val="18"/>
                <w:lang w:val="en-US"/>
              </w:rPr>
              <w:t>anexă</w:t>
            </w:r>
            <w:proofErr w:type="spellEnd"/>
            <w:r w:rsidRPr="00753AFD">
              <w:rPr>
                <w:sz w:val="18"/>
                <w:szCs w:val="18"/>
                <w:lang w:val="en-US"/>
              </w:rPr>
              <w:t>;</w:t>
            </w:r>
          </w:p>
          <w:p w14:paraId="5D6736B0" w14:textId="77777777" w:rsidR="002D6B17" w:rsidRPr="00753AFD" w:rsidRDefault="002D6B17" w:rsidP="002D6B17">
            <w:pPr>
              <w:rPr>
                <w:sz w:val="18"/>
                <w:szCs w:val="18"/>
                <w:lang w:val="en-US"/>
              </w:rPr>
            </w:pPr>
            <w:r w:rsidRPr="00753AFD">
              <w:rPr>
                <w:i/>
                <w:iCs/>
                <w:sz w:val="18"/>
                <w:szCs w:val="18"/>
              </w:rPr>
              <w:t>σ</w:t>
            </w:r>
            <w:r w:rsidRPr="00753AFD">
              <w:rPr>
                <w:sz w:val="18"/>
                <w:szCs w:val="18"/>
                <w:lang w:val="en-US"/>
              </w:rPr>
              <w:t xml:space="preserve"> = </w:t>
            </w:r>
            <w:proofErr w:type="spellStart"/>
            <w:r w:rsidRPr="00753AFD">
              <w:rPr>
                <w:sz w:val="18"/>
                <w:szCs w:val="18"/>
                <w:lang w:val="en-US"/>
              </w:rPr>
              <w:t>volatilitatea</w:t>
            </w:r>
            <w:proofErr w:type="spellEnd"/>
            <w:r w:rsidRPr="00753AFD">
              <w:rPr>
                <w:sz w:val="18"/>
                <w:szCs w:val="18"/>
                <w:lang w:val="en-US"/>
              </w:rPr>
              <w:t xml:space="preserve"> </w:t>
            </w:r>
            <w:proofErr w:type="spellStart"/>
            <w:r w:rsidRPr="00753AFD">
              <w:rPr>
                <w:sz w:val="18"/>
                <w:szCs w:val="18"/>
                <w:lang w:val="en-US"/>
              </w:rPr>
              <w:t>reglementată</w:t>
            </w:r>
            <w:proofErr w:type="spellEnd"/>
            <w:r w:rsidRPr="00753AFD">
              <w:rPr>
                <w:sz w:val="18"/>
                <w:szCs w:val="18"/>
                <w:lang w:val="en-US"/>
              </w:rPr>
              <w:t xml:space="preserve"> a </w:t>
            </w:r>
            <w:proofErr w:type="spellStart"/>
            <w:r w:rsidRPr="00753AFD">
              <w:rPr>
                <w:sz w:val="18"/>
                <w:szCs w:val="18"/>
                <w:lang w:val="en-US"/>
              </w:rPr>
              <w:t>opțiunii</w:t>
            </w:r>
            <w:proofErr w:type="spellEnd"/>
            <w:r w:rsidRPr="00753AFD">
              <w:rPr>
                <w:sz w:val="18"/>
                <w:szCs w:val="18"/>
                <w:lang w:val="en-US"/>
              </w:rPr>
              <w:t xml:space="preserve">, </w:t>
            </w:r>
            <w:proofErr w:type="spellStart"/>
            <w:r w:rsidRPr="00753AFD">
              <w:rPr>
                <w:sz w:val="18"/>
                <w:szCs w:val="18"/>
                <w:lang w:val="en-US"/>
              </w:rPr>
              <w:t>determinată</w:t>
            </w:r>
            <w:proofErr w:type="spellEnd"/>
            <w:r w:rsidRPr="00753AFD">
              <w:rPr>
                <w:sz w:val="18"/>
                <w:szCs w:val="18"/>
                <w:lang w:val="en-US"/>
              </w:rPr>
              <w:t xml:space="preserve"> </w:t>
            </w:r>
            <w:proofErr w:type="spellStart"/>
            <w:r w:rsidRPr="00753AFD">
              <w:rPr>
                <w:sz w:val="18"/>
                <w:szCs w:val="18"/>
                <w:lang w:val="en-US"/>
              </w:rPr>
              <w:t>în</w:t>
            </w:r>
            <w:proofErr w:type="spellEnd"/>
            <w:r w:rsidRPr="00753AFD">
              <w:rPr>
                <w:sz w:val="18"/>
                <w:szCs w:val="18"/>
                <w:lang w:val="en-US"/>
              </w:rPr>
              <w:t xml:space="preserve"> </w:t>
            </w:r>
            <w:proofErr w:type="spellStart"/>
            <w:r w:rsidRPr="00753AFD">
              <w:rPr>
                <w:sz w:val="18"/>
                <w:szCs w:val="18"/>
                <w:lang w:val="en-US"/>
              </w:rPr>
              <w:t>conformitate</w:t>
            </w:r>
            <w:proofErr w:type="spellEnd"/>
            <w:r w:rsidRPr="00753AFD">
              <w:rPr>
                <w:sz w:val="18"/>
                <w:szCs w:val="18"/>
                <w:lang w:val="en-US"/>
              </w:rPr>
              <w:t xml:space="preserve"> cu </w:t>
            </w:r>
            <w:proofErr w:type="spellStart"/>
            <w:r w:rsidRPr="00753AFD">
              <w:rPr>
                <w:sz w:val="18"/>
                <w:szCs w:val="18"/>
                <w:lang w:val="en-US"/>
              </w:rPr>
              <w:t>punctul</w:t>
            </w:r>
            <w:proofErr w:type="spellEnd"/>
            <w:r w:rsidRPr="00753AFD">
              <w:rPr>
                <w:sz w:val="18"/>
                <w:szCs w:val="18"/>
                <w:lang w:val="en-US"/>
              </w:rPr>
              <w:t xml:space="preserve"> 12 din </w:t>
            </w:r>
            <w:proofErr w:type="spellStart"/>
            <w:r w:rsidRPr="00753AFD">
              <w:rPr>
                <w:sz w:val="18"/>
                <w:szCs w:val="18"/>
                <w:lang w:val="en-US"/>
              </w:rPr>
              <w:t>prezenta</w:t>
            </w:r>
            <w:proofErr w:type="spellEnd"/>
            <w:r w:rsidRPr="00753AFD">
              <w:rPr>
                <w:sz w:val="18"/>
                <w:szCs w:val="18"/>
                <w:lang w:val="en-US"/>
              </w:rPr>
              <w:t xml:space="preserve"> </w:t>
            </w:r>
            <w:proofErr w:type="spellStart"/>
            <w:r w:rsidRPr="00753AFD">
              <w:rPr>
                <w:sz w:val="18"/>
                <w:szCs w:val="18"/>
                <w:lang w:val="en-US"/>
              </w:rPr>
              <w:t>anexă</w:t>
            </w:r>
            <w:proofErr w:type="spellEnd"/>
            <w:r w:rsidRPr="00753AFD">
              <w:rPr>
                <w:sz w:val="18"/>
                <w:szCs w:val="18"/>
                <w:lang w:val="en-US"/>
              </w:rPr>
              <w:t>.</w:t>
            </w:r>
          </w:p>
          <w:p w14:paraId="5BA9F3F3" w14:textId="77777777" w:rsidR="002D6B17" w:rsidRPr="00753AFD" w:rsidRDefault="002D6B17" w:rsidP="002D6B17">
            <w:pPr>
              <w:rPr>
                <w:sz w:val="18"/>
                <w:szCs w:val="18"/>
                <w:lang w:val="en-US"/>
              </w:rPr>
            </w:pPr>
            <w:r w:rsidRPr="00753AFD">
              <w:rPr>
                <w:b/>
                <w:bCs/>
                <w:sz w:val="18"/>
                <w:szCs w:val="18"/>
                <w:lang w:val="en-US"/>
              </w:rPr>
              <w:t>11.</w:t>
            </w:r>
            <w:r w:rsidRPr="00753AFD">
              <w:rPr>
                <w:sz w:val="18"/>
                <w:szCs w:val="18"/>
                <w:lang w:val="en-US"/>
              </w:rPr>
              <w:t xml:space="preserve"> </w:t>
            </w:r>
            <w:proofErr w:type="spellStart"/>
            <w:r w:rsidRPr="00753AFD">
              <w:rPr>
                <w:sz w:val="18"/>
                <w:szCs w:val="18"/>
                <w:lang w:val="en-US"/>
              </w:rPr>
              <w:t>În</w:t>
            </w:r>
            <w:proofErr w:type="spellEnd"/>
            <w:r w:rsidRPr="00753AFD">
              <w:rPr>
                <w:sz w:val="18"/>
                <w:szCs w:val="18"/>
                <w:lang w:val="en-US"/>
              </w:rPr>
              <w:t xml:space="preserve"> </w:t>
            </w:r>
            <w:proofErr w:type="spellStart"/>
            <w:r w:rsidRPr="00753AFD">
              <w:rPr>
                <w:sz w:val="18"/>
                <w:szCs w:val="18"/>
                <w:lang w:val="en-US"/>
              </w:rPr>
              <w:t>sensul</w:t>
            </w:r>
            <w:proofErr w:type="spellEnd"/>
            <w:r w:rsidRPr="00753AFD">
              <w:rPr>
                <w:sz w:val="18"/>
                <w:szCs w:val="18"/>
                <w:lang w:val="en-US"/>
              </w:rPr>
              <w:t xml:space="preserve"> </w:t>
            </w:r>
            <w:proofErr w:type="spellStart"/>
            <w:r w:rsidRPr="00753AFD">
              <w:rPr>
                <w:sz w:val="18"/>
                <w:szCs w:val="18"/>
                <w:lang w:val="en-US"/>
              </w:rPr>
              <w:t>punctului</w:t>
            </w:r>
            <w:proofErr w:type="spellEnd"/>
            <w:r w:rsidRPr="00753AFD">
              <w:rPr>
                <w:sz w:val="18"/>
                <w:szCs w:val="18"/>
                <w:lang w:val="en-US"/>
              </w:rPr>
              <w:t xml:space="preserve"> 10 din </w:t>
            </w:r>
            <w:proofErr w:type="spellStart"/>
            <w:r w:rsidRPr="00753AFD">
              <w:rPr>
                <w:sz w:val="18"/>
                <w:szCs w:val="18"/>
                <w:lang w:val="en-US"/>
              </w:rPr>
              <w:t>prezenta</w:t>
            </w:r>
            <w:proofErr w:type="spellEnd"/>
            <w:r w:rsidRPr="00753AFD">
              <w:rPr>
                <w:sz w:val="18"/>
                <w:szCs w:val="18"/>
                <w:lang w:val="en-US"/>
              </w:rPr>
              <w:t xml:space="preserve"> </w:t>
            </w:r>
            <w:proofErr w:type="spellStart"/>
            <w:r w:rsidRPr="00753AFD">
              <w:rPr>
                <w:sz w:val="18"/>
                <w:szCs w:val="18"/>
                <w:lang w:val="en-US"/>
              </w:rPr>
              <w:t>anexă</w:t>
            </w:r>
            <w:proofErr w:type="spellEnd"/>
            <w:r w:rsidRPr="00753AFD">
              <w:rPr>
                <w:sz w:val="18"/>
                <w:szCs w:val="18"/>
                <w:lang w:val="en-US"/>
              </w:rPr>
              <w:t xml:space="preserve">, </w:t>
            </w:r>
            <w:proofErr w:type="spellStart"/>
            <w:r w:rsidRPr="00753AFD">
              <w:rPr>
                <w:sz w:val="18"/>
                <w:szCs w:val="18"/>
                <w:lang w:val="en-US"/>
              </w:rPr>
              <w:t>băncile</w:t>
            </w:r>
            <w:proofErr w:type="spellEnd"/>
            <w:r w:rsidRPr="00753AFD">
              <w:rPr>
                <w:sz w:val="18"/>
                <w:szCs w:val="18"/>
                <w:lang w:val="en-US"/>
              </w:rPr>
              <w:t xml:space="preserve"> </w:t>
            </w:r>
            <w:proofErr w:type="spellStart"/>
            <w:r w:rsidRPr="00753AFD">
              <w:rPr>
                <w:sz w:val="18"/>
                <w:szCs w:val="18"/>
                <w:lang w:val="en-US"/>
              </w:rPr>
              <w:t>calculează</w:t>
            </w:r>
            <w:proofErr w:type="spellEnd"/>
            <w:r w:rsidRPr="00753AFD">
              <w:rPr>
                <w:sz w:val="18"/>
                <w:szCs w:val="18"/>
                <w:lang w:val="en-US"/>
              </w:rPr>
              <w:t xml:space="preserve"> </w:t>
            </w:r>
            <w:proofErr w:type="spellStart"/>
            <w:r w:rsidRPr="00753AFD">
              <w:rPr>
                <w:sz w:val="18"/>
                <w:szCs w:val="18"/>
                <w:lang w:val="en-US"/>
              </w:rPr>
              <w:t>factorul</w:t>
            </w:r>
            <w:proofErr w:type="spellEnd"/>
            <w:r w:rsidRPr="00753AFD">
              <w:rPr>
                <w:sz w:val="18"/>
                <w:szCs w:val="18"/>
                <w:lang w:val="en-US"/>
              </w:rPr>
              <w:t xml:space="preserve"> de </w:t>
            </w:r>
            <w:proofErr w:type="spellStart"/>
            <w:r w:rsidRPr="00753AFD">
              <w:rPr>
                <w:sz w:val="18"/>
                <w:szCs w:val="18"/>
                <w:lang w:val="en-US"/>
              </w:rPr>
              <w:t>decalare</w:t>
            </w:r>
            <w:proofErr w:type="spellEnd"/>
            <w:r w:rsidRPr="00753AFD">
              <w:rPr>
                <w:sz w:val="18"/>
                <w:szCs w:val="18"/>
                <w:lang w:val="en-US"/>
              </w:rPr>
              <w:t xml:space="preserve"> (</w:t>
            </w:r>
            <w:r w:rsidRPr="00753AFD">
              <w:rPr>
                <w:sz w:val="18"/>
                <w:szCs w:val="18"/>
              </w:rPr>
              <w:t>λ</w:t>
            </w:r>
            <w:r w:rsidRPr="00753AFD">
              <w:rPr>
                <w:sz w:val="18"/>
                <w:szCs w:val="18"/>
                <w:lang w:val="en-US"/>
              </w:rPr>
              <w:t xml:space="preserve">) </w:t>
            </w:r>
            <w:proofErr w:type="spellStart"/>
            <w:r w:rsidRPr="00753AFD">
              <w:rPr>
                <w:sz w:val="18"/>
                <w:szCs w:val="18"/>
                <w:lang w:val="en-US"/>
              </w:rPr>
              <w:t>pentru</w:t>
            </w:r>
            <w:proofErr w:type="spellEnd"/>
            <w:r w:rsidRPr="00753AFD">
              <w:rPr>
                <w:sz w:val="18"/>
                <w:szCs w:val="18"/>
                <w:lang w:val="en-US"/>
              </w:rPr>
              <w:t xml:space="preserve"> </w:t>
            </w:r>
            <w:proofErr w:type="spellStart"/>
            <w:r w:rsidRPr="00753AFD">
              <w:rPr>
                <w:sz w:val="18"/>
                <w:szCs w:val="18"/>
                <w:lang w:val="en-US"/>
              </w:rPr>
              <w:t>orice</w:t>
            </w:r>
            <w:proofErr w:type="spellEnd"/>
            <w:r w:rsidRPr="00753AFD">
              <w:rPr>
                <w:sz w:val="18"/>
                <w:szCs w:val="18"/>
                <w:lang w:val="en-US"/>
              </w:rPr>
              <w:t xml:space="preserve"> </w:t>
            </w:r>
            <w:proofErr w:type="spellStart"/>
            <w:r w:rsidRPr="00753AFD">
              <w:rPr>
                <w:sz w:val="18"/>
                <w:szCs w:val="18"/>
                <w:lang w:val="en-US"/>
              </w:rPr>
              <w:t>opțiune</w:t>
            </w:r>
            <w:proofErr w:type="spellEnd"/>
            <w:r w:rsidRPr="00753AFD">
              <w:rPr>
                <w:sz w:val="18"/>
                <w:szCs w:val="18"/>
                <w:lang w:val="en-US"/>
              </w:rPr>
              <w:t xml:space="preserve"> call </w:t>
            </w:r>
            <w:proofErr w:type="spellStart"/>
            <w:r w:rsidRPr="00753AFD">
              <w:rPr>
                <w:sz w:val="18"/>
                <w:szCs w:val="18"/>
                <w:lang w:val="en-US"/>
              </w:rPr>
              <w:t>și</w:t>
            </w:r>
            <w:proofErr w:type="spellEnd"/>
            <w:r w:rsidRPr="00753AFD">
              <w:rPr>
                <w:sz w:val="18"/>
                <w:szCs w:val="18"/>
                <w:lang w:val="en-US"/>
              </w:rPr>
              <w:t xml:space="preserve"> put </w:t>
            </w:r>
            <w:proofErr w:type="spellStart"/>
            <w:r w:rsidRPr="00753AFD">
              <w:rPr>
                <w:sz w:val="18"/>
                <w:szCs w:val="18"/>
                <w:lang w:val="en-US"/>
              </w:rPr>
              <w:t>după</w:t>
            </w:r>
            <w:proofErr w:type="spellEnd"/>
            <w:r w:rsidRPr="00753AFD">
              <w:rPr>
                <w:sz w:val="18"/>
                <w:szCs w:val="18"/>
                <w:lang w:val="en-US"/>
              </w:rPr>
              <w:t xml:space="preserve"> cum </w:t>
            </w:r>
            <w:proofErr w:type="spellStart"/>
            <w:r w:rsidRPr="00753AFD">
              <w:rPr>
                <w:sz w:val="18"/>
                <w:szCs w:val="18"/>
                <w:lang w:val="en-US"/>
              </w:rPr>
              <w:t>urmează</w:t>
            </w:r>
            <w:proofErr w:type="spellEnd"/>
            <w:r w:rsidRPr="00753AFD">
              <w:rPr>
                <w:sz w:val="18"/>
                <w:szCs w:val="18"/>
                <w:lang w:val="en-US"/>
              </w:rPr>
              <w:t>:</w:t>
            </w:r>
          </w:p>
          <w:p w14:paraId="22FDBAF9" w14:textId="77777777" w:rsidR="002D6B17" w:rsidRDefault="002D6B17" w:rsidP="002D6B17">
            <w:pPr>
              <w:ind w:firstLine="426"/>
              <w:rPr>
                <w:sz w:val="18"/>
                <w:szCs w:val="18"/>
                <w:lang w:val="en-US"/>
              </w:rPr>
            </w:pPr>
          </w:p>
          <w:p w14:paraId="1DCBEE21" w14:textId="244E8717" w:rsidR="002D6B17" w:rsidRPr="00383F39" w:rsidRDefault="002D6B17" w:rsidP="002D6B17">
            <w:pPr>
              <w:ind w:firstLine="426"/>
              <w:rPr>
                <w:sz w:val="18"/>
                <w:szCs w:val="18"/>
                <w:lang w:val="en-US"/>
              </w:rPr>
            </w:pPr>
            <w:r w:rsidRPr="00442323">
              <w:rPr>
                <w:noProof/>
              </w:rPr>
              <w:drawing>
                <wp:inline distT="0" distB="0" distL="0" distR="0" wp14:anchorId="73A13AA5" wp14:editId="0B53BC1D">
                  <wp:extent cx="1800225" cy="474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55714" cy="489577"/>
                          </a:xfrm>
                          <a:prstGeom prst="rect">
                            <a:avLst/>
                          </a:prstGeom>
                          <a:noFill/>
                          <a:ln>
                            <a:noFill/>
                          </a:ln>
                        </pic:spPr>
                      </pic:pic>
                    </a:graphicData>
                  </a:graphic>
                </wp:inline>
              </w:drawing>
            </w:r>
          </w:p>
          <w:p w14:paraId="17F5B215" w14:textId="77777777" w:rsidR="002D6B17" w:rsidRPr="00383F39" w:rsidRDefault="002D6B17" w:rsidP="002D6B17">
            <w:pPr>
              <w:ind w:firstLine="426"/>
              <w:rPr>
                <w:sz w:val="18"/>
                <w:szCs w:val="18"/>
                <w:lang w:val="en-US"/>
              </w:rPr>
            </w:pPr>
          </w:p>
          <w:p w14:paraId="7AFA9EC5" w14:textId="77777777" w:rsidR="002D6B17" w:rsidRPr="00753AFD" w:rsidRDefault="002D6B17" w:rsidP="002D6B17">
            <w:pPr>
              <w:rPr>
                <w:sz w:val="18"/>
                <w:szCs w:val="18"/>
                <w:lang w:val="en-US"/>
              </w:rPr>
            </w:pPr>
            <w:proofErr w:type="spellStart"/>
            <w:r w:rsidRPr="00753AFD">
              <w:rPr>
                <w:sz w:val="18"/>
                <w:szCs w:val="18"/>
                <w:lang w:val="en-US"/>
              </w:rPr>
              <w:t>unde</w:t>
            </w:r>
            <w:proofErr w:type="spellEnd"/>
            <w:r w:rsidRPr="00753AFD">
              <w:rPr>
                <w:sz w:val="18"/>
                <w:szCs w:val="18"/>
                <w:lang w:val="en-US"/>
              </w:rPr>
              <w:t>:</w:t>
            </w:r>
          </w:p>
          <w:p w14:paraId="7BA9F43B" w14:textId="77777777" w:rsidR="002D6B17" w:rsidRPr="00753AFD" w:rsidRDefault="002D6B17" w:rsidP="002D6B17">
            <w:pPr>
              <w:rPr>
                <w:sz w:val="18"/>
                <w:szCs w:val="18"/>
                <w:lang w:val="en-US"/>
              </w:rPr>
            </w:pPr>
            <w:proofErr w:type="spellStart"/>
            <w:r w:rsidRPr="00753AFD">
              <w:rPr>
                <w:sz w:val="18"/>
                <w:szCs w:val="18"/>
                <w:lang w:val="en-US"/>
              </w:rPr>
              <w:t>Pj</w:t>
            </w:r>
            <w:proofErr w:type="spellEnd"/>
            <w:r w:rsidRPr="00753AFD">
              <w:rPr>
                <w:sz w:val="18"/>
                <w:szCs w:val="18"/>
                <w:lang w:val="en-US"/>
              </w:rPr>
              <w:t xml:space="preserve"> = </w:t>
            </w:r>
            <w:proofErr w:type="spellStart"/>
            <w:r w:rsidRPr="00753AFD">
              <w:rPr>
                <w:sz w:val="18"/>
                <w:szCs w:val="18"/>
                <w:lang w:val="en-US"/>
              </w:rPr>
              <w:t>prețul</w:t>
            </w:r>
            <w:proofErr w:type="spellEnd"/>
            <w:r w:rsidRPr="00753AFD">
              <w:rPr>
                <w:sz w:val="18"/>
                <w:szCs w:val="18"/>
                <w:lang w:val="en-US"/>
              </w:rPr>
              <w:t xml:space="preserve"> la </w:t>
            </w:r>
            <w:proofErr w:type="spellStart"/>
            <w:r w:rsidRPr="00753AFD">
              <w:rPr>
                <w:sz w:val="18"/>
                <w:szCs w:val="18"/>
                <w:lang w:val="en-US"/>
              </w:rPr>
              <w:t>vedere</w:t>
            </w:r>
            <w:proofErr w:type="spellEnd"/>
            <w:r w:rsidRPr="00753AFD">
              <w:rPr>
                <w:sz w:val="18"/>
                <w:szCs w:val="18"/>
                <w:lang w:val="en-US"/>
              </w:rPr>
              <w:t xml:space="preserve"> </w:t>
            </w:r>
            <w:proofErr w:type="spellStart"/>
            <w:r w:rsidRPr="00753AFD">
              <w:rPr>
                <w:sz w:val="18"/>
                <w:szCs w:val="18"/>
                <w:lang w:val="en-US"/>
              </w:rPr>
              <w:t>sau</w:t>
            </w:r>
            <w:proofErr w:type="spellEnd"/>
            <w:r w:rsidRPr="00753AFD">
              <w:rPr>
                <w:sz w:val="18"/>
                <w:szCs w:val="18"/>
                <w:lang w:val="en-US"/>
              </w:rPr>
              <w:t xml:space="preserve"> la termen al </w:t>
            </w:r>
            <w:proofErr w:type="spellStart"/>
            <w:r w:rsidRPr="00753AFD">
              <w:rPr>
                <w:sz w:val="18"/>
                <w:szCs w:val="18"/>
                <w:lang w:val="en-US"/>
              </w:rPr>
              <w:t>instrumentului-suport</w:t>
            </w:r>
            <w:proofErr w:type="spellEnd"/>
            <w:r w:rsidRPr="00753AFD">
              <w:rPr>
                <w:sz w:val="18"/>
                <w:szCs w:val="18"/>
                <w:lang w:val="en-US"/>
              </w:rPr>
              <w:t xml:space="preserve"> al </w:t>
            </w:r>
            <w:proofErr w:type="spellStart"/>
            <w:r w:rsidRPr="00753AFD">
              <w:rPr>
                <w:sz w:val="18"/>
                <w:szCs w:val="18"/>
                <w:lang w:val="en-US"/>
              </w:rPr>
              <w:t>opțiunii</w:t>
            </w:r>
            <w:proofErr w:type="spellEnd"/>
            <w:r w:rsidRPr="00753AFD">
              <w:rPr>
                <w:sz w:val="18"/>
                <w:szCs w:val="18"/>
                <w:lang w:val="en-US"/>
              </w:rPr>
              <w:t xml:space="preserve"> </w:t>
            </w:r>
            <w:proofErr w:type="gramStart"/>
            <w:r w:rsidRPr="00753AFD">
              <w:rPr>
                <w:sz w:val="18"/>
                <w:szCs w:val="18"/>
                <w:lang w:val="en-US"/>
              </w:rPr>
              <w:t>j;</w:t>
            </w:r>
            <w:proofErr w:type="gramEnd"/>
          </w:p>
          <w:p w14:paraId="420B87A0" w14:textId="77777777" w:rsidR="002D6B17" w:rsidRPr="00753AFD" w:rsidRDefault="002D6B17" w:rsidP="002D6B17">
            <w:pPr>
              <w:rPr>
                <w:sz w:val="18"/>
                <w:szCs w:val="18"/>
                <w:lang w:val="en-US"/>
              </w:rPr>
            </w:pPr>
            <w:proofErr w:type="spellStart"/>
            <w:r w:rsidRPr="00753AFD">
              <w:rPr>
                <w:sz w:val="18"/>
                <w:szCs w:val="18"/>
                <w:lang w:val="en-US"/>
              </w:rPr>
              <w:t>Kj</w:t>
            </w:r>
            <w:proofErr w:type="spellEnd"/>
            <w:r w:rsidRPr="00753AFD">
              <w:rPr>
                <w:sz w:val="18"/>
                <w:szCs w:val="18"/>
                <w:lang w:val="en-US"/>
              </w:rPr>
              <w:t xml:space="preserve"> = </w:t>
            </w:r>
            <w:proofErr w:type="spellStart"/>
            <w:r w:rsidRPr="00753AFD">
              <w:rPr>
                <w:sz w:val="18"/>
                <w:szCs w:val="18"/>
                <w:lang w:val="en-US"/>
              </w:rPr>
              <w:t>prețul</w:t>
            </w:r>
            <w:proofErr w:type="spellEnd"/>
            <w:r w:rsidRPr="00753AFD">
              <w:rPr>
                <w:sz w:val="18"/>
                <w:szCs w:val="18"/>
                <w:lang w:val="en-US"/>
              </w:rPr>
              <w:t xml:space="preserve"> de </w:t>
            </w:r>
            <w:proofErr w:type="spellStart"/>
            <w:r w:rsidRPr="00753AFD">
              <w:rPr>
                <w:sz w:val="18"/>
                <w:szCs w:val="18"/>
                <w:lang w:val="en-US"/>
              </w:rPr>
              <w:t>exercitare</w:t>
            </w:r>
            <w:proofErr w:type="spellEnd"/>
            <w:r w:rsidRPr="00753AFD">
              <w:rPr>
                <w:sz w:val="18"/>
                <w:szCs w:val="18"/>
                <w:lang w:val="en-US"/>
              </w:rPr>
              <w:t xml:space="preserve"> </w:t>
            </w:r>
            <w:proofErr w:type="gramStart"/>
            <w:r w:rsidRPr="00753AFD">
              <w:rPr>
                <w:sz w:val="18"/>
                <w:szCs w:val="18"/>
                <w:lang w:val="en-US"/>
              </w:rPr>
              <w:t>a</w:t>
            </w:r>
            <w:proofErr w:type="gramEnd"/>
            <w:r w:rsidRPr="00753AFD">
              <w:rPr>
                <w:sz w:val="18"/>
                <w:szCs w:val="18"/>
                <w:lang w:val="en-US"/>
              </w:rPr>
              <w:t xml:space="preserve"> </w:t>
            </w:r>
            <w:proofErr w:type="spellStart"/>
            <w:r w:rsidRPr="00753AFD">
              <w:rPr>
                <w:sz w:val="18"/>
                <w:szCs w:val="18"/>
                <w:lang w:val="en-US"/>
              </w:rPr>
              <w:t>opțiunii</w:t>
            </w:r>
            <w:proofErr w:type="spellEnd"/>
            <w:r w:rsidRPr="00753AFD">
              <w:rPr>
                <w:sz w:val="18"/>
                <w:szCs w:val="18"/>
                <w:lang w:val="en-US"/>
              </w:rPr>
              <w:t xml:space="preserve"> </w:t>
            </w:r>
            <w:proofErr w:type="gramStart"/>
            <w:r w:rsidRPr="00753AFD">
              <w:rPr>
                <w:sz w:val="18"/>
                <w:szCs w:val="18"/>
                <w:lang w:val="en-US"/>
              </w:rPr>
              <w:t>j;</w:t>
            </w:r>
            <w:proofErr w:type="gramEnd"/>
          </w:p>
          <w:tbl>
            <w:tblPr>
              <w:tblW w:w="3335" w:type="dxa"/>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63"/>
              <w:gridCol w:w="2272"/>
            </w:tblGrid>
            <w:tr w:rsidR="002D6B17" w:rsidRPr="00274BD4" w14:paraId="4873E6C8" w14:textId="77777777" w:rsidTr="00753AFD">
              <w:trPr>
                <w:trHeight w:val="502"/>
              </w:trPr>
              <w:tc>
                <w:tcPr>
                  <w:tcW w:w="1063" w:type="dxa"/>
                  <w:vMerge w:val="restart"/>
                  <w:shd w:val="clear" w:color="auto" w:fill="FFFFFF"/>
                  <w:tcMar>
                    <w:top w:w="0" w:type="dxa"/>
                    <w:left w:w="0" w:type="dxa"/>
                    <w:bottom w:w="0" w:type="dxa"/>
                    <w:right w:w="0" w:type="dxa"/>
                  </w:tcMar>
                  <w:vAlign w:val="center"/>
                  <w:hideMark/>
                </w:tcPr>
                <w:tbl>
                  <w:tblPr>
                    <w:tblW w:w="1063" w:type="dxa"/>
                    <w:jc w:val="center"/>
                    <w:tblLayout w:type="fixed"/>
                    <w:tblCellMar>
                      <w:top w:w="15" w:type="dxa"/>
                      <w:left w:w="15" w:type="dxa"/>
                      <w:bottom w:w="15" w:type="dxa"/>
                      <w:right w:w="15" w:type="dxa"/>
                    </w:tblCellMar>
                    <w:tblLook w:val="04A0" w:firstRow="1" w:lastRow="0" w:firstColumn="1" w:lastColumn="0" w:noHBand="0" w:noVBand="1"/>
                  </w:tblPr>
                  <w:tblGrid>
                    <w:gridCol w:w="838"/>
                    <w:gridCol w:w="225"/>
                  </w:tblGrid>
                  <w:tr w:rsidR="002D6B17" w:rsidRPr="00753AFD" w14:paraId="224F881F" w14:textId="77777777" w:rsidTr="00753AFD">
                    <w:trPr>
                      <w:trHeight w:val="395"/>
                      <w:jc w:val="center"/>
                    </w:trPr>
                    <w:tc>
                      <w:tcPr>
                        <w:tcW w:w="838" w:type="dxa"/>
                        <w:tcMar>
                          <w:top w:w="0" w:type="dxa"/>
                          <w:left w:w="0" w:type="dxa"/>
                          <w:bottom w:w="0" w:type="dxa"/>
                          <w:right w:w="0" w:type="dxa"/>
                        </w:tcMar>
                        <w:vAlign w:val="center"/>
                        <w:hideMark/>
                      </w:tcPr>
                      <w:p w14:paraId="4F5ED945" w14:textId="77777777" w:rsidR="002D6B17" w:rsidRPr="00753AFD" w:rsidRDefault="002D6B17" w:rsidP="002D6B17">
                        <w:pPr>
                          <w:rPr>
                            <w:sz w:val="18"/>
                            <w:szCs w:val="18"/>
                            <w:lang w:eastAsia="ro-MD"/>
                          </w:rPr>
                        </w:pPr>
                        <w:proofErr w:type="spellStart"/>
                        <w:r w:rsidRPr="00753AFD">
                          <w:rPr>
                            <w:i/>
                            <w:iCs/>
                            <w:sz w:val="18"/>
                            <w:szCs w:val="18"/>
                            <w:lang w:eastAsia="ro-MD"/>
                          </w:rPr>
                          <w:t>pragul</w:t>
                        </w:r>
                        <w:proofErr w:type="spellEnd"/>
                        <w:r w:rsidRPr="00753AFD">
                          <w:rPr>
                            <w:sz w:val="18"/>
                            <w:szCs w:val="18"/>
                            <w:lang w:eastAsia="ro-MD"/>
                          </w:rPr>
                          <w:t> </w:t>
                        </w:r>
                        <w:r w:rsidRPr="00753AFD">
                          <w:rPr>
                            <w:i/>
                            <w:iCs/>
                            <w:sz w:val="18"/>
                            <w:szCs w:val="18"/>
                            <w:vertAlign w:val="subscript"/>
                            <w:lang w:eastAsia="ro-MD"/>
                          </w:rPr>
                          <w:t>j</w:t>
                        </w:r>
                        <w:r w:rsidRPr="00753AFD">
                          <w:rPr>
                            <w:sz w:val="18"/>
                            <w:szCs w:val="18"/>
                            <w:vertAlign w:val="subscript"/>
                            <w:lang w:eastAsia="ro-MD"/>
                          </w:rPr>
                          <w:t> </w:t>
                        </w:r>
                        <w:r w:rsidRPr="00753AFD">
                          <w:rPr>
                            <w:sz w:val="18"/>
                            <w:szCs w:val="18"/>
                            <w:lang w:eastAsia="ro-MD"/>
                          </w:rPr>
                          <w:t>=</w:t>
                        </w:r>
                      </w:p>
                    </w:tc>
                    <w:tc>
                      <w:tcPr>
                        <w:tcW w:w="225" w:type="dxa"/>
                        <w:tcMar>
                          <w:top w:w="0" w:type="dxa"/>
                          <w:left w:w="0" w:type="dxa"/>
                          <w:bottom w:w="0" w:type="dxa"/>
                          <w:right w:w="0" w:type="dxa"/>
                        </w:tcMar>
                        <w:vAlign w:val="center"/>
                        <w:hideMark/>
                      </w:tcPr>
                      <w:p w14:paraId="04C2053C" w14:textId="77777777" w:rsidR="002D6B17" w:rsidRPr="00753AFD" w:rsidRDefault="002D6B17" w:rsidP="002D6B17">
                        <w:pPr>
                          <w:rPr>
                            <w:sz w:val="18"/>
                            <w:szCs w:val="18"/>
                            <w:lang w:eastAsia="ro-MD"/>
                          </w:rPr>
                        </w:pPr>
                        <w:r w:rsidRPr="00753AFD">
                          <w:rPr>
                            <w:noProof/>
                            <w:sz w:val="18"/>
                            <w:szCs w:val="18"/>
                            <w:lang w:eastAsia="ro-MD"/>
                          </w:rPr>
                          <w:drawing>
                            <wp:inline distT="0" distB="0" distL="0" distR="0" wp14:anchorId="4E8E35C2" wp14:editId="40B134A9">
                              <wp:extent cx="151130" cy="763270"/>
                              <wp:effectExtent l="0" t="0" r="1270" b="0"/>
                              <wp:docPr id="54" name="Picture 54" descr="left acco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ft accola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130" cy="763270"/>
                                      </a:xfrm>
                                      <a:prstGeom prst="rect">
                                        <a:avLst/>
                                      </a:prstGeom>
                                      <a:noFill/>
                                      <a:ln>
                                        <a:noFill/>
                                      </a:ln>
                                    </pic:spPr>
                                  </pic:pic>
                                </a:graphicData>
                              </a:graphic>
                            </wp:inline>
                          </w:drawing>
                        </w:r>
                      </w:p>
                    </w:tc>
                  </w:tr>
                </w:tbl>
                <w:p w14:paraId="6025BF03" w14:textId="77777777" w:rsidR="002D6B17" w:rsidRPr="00753AFD" w:rsidRDefault="002D6B17" w:rsidP="002D6B17">
                  <w:pPr>
                    <w:jc w:val="center"/>
                    <w:rPr>
                      <w:color w:val="000000"/>
                      <w:sz w:val="18"/>
                      <w:szCs w:val="18"/>
                      <w:lang w:eastAsia="ro-MD"/>
                    </w:rPr>
                  </w:pPr>
                </w:p>
              </w:tc>
              <w:tc>
                <w:tcPr>
                  <w:tcW w:w="2272" w:type="dxa"/>
                  <w:shd w:val="clear" w:color="auto" w:fill="FFFFFF"/>
                  <w:tcMar>
                    <w:top w:w="0" w:type="dxa"/>
                    <w:left w:w="0" w:type="dxa"/>
                    <w:bottom w:w="0" w:type="dxa"/>
                    <w:right w:w="0" w:type="dxa"/>
                  </w:tcMar>
                  <w:hideMark/>
                </w:tcPr>
                <w:p w14:paraId="231DC74F" w14:textId="77777777" w:rsidR="002D6B17" w:rsidRPr="00753AFD" w:rsidRDefault="002D6B17" w:rsidP="002D6B17">
                  <w:pPr>
                    <w:spacing w:before="60" w:after="60"/>
                    <w:jc w:val="both"/>
                    <w:rPr>
                      <w:color w:val="000000"/>
                      <w:sz w:val="18"/>
                      <w:szCs w:val="18"/>
                      <w:lang w:val="en-US" w:eastAsia="ro-MD"/>
                    </w:rPr>
                  </w:pPr>
                  <w:r w:rsidRPr="00753AFD">
                    <w:rPr>
                      <w:color w:val="000000"/>
                      <w:sz w:val="18"/>
                      <w:szCs w:val="18"/>
                      <w:lang w:val="en-US" w:eastAsia="ro-MD"/>
                    </w:rPr>
                    <w:t>0,10 </w:t>
                  </w:r>
                  <w:r w:rsidRPr="00753AFD">
                    <w:rPr>
                      <w:i/>
                      <w:iCs/>
                      <w:color w:val="000000"/>
                      <w:sz w:val="18"/>
                      <w:szCs w:val="18"/>
                      <w:lang w:val="en-US" w:eastAsia="ro-MD"/>
                    </w:rPr>
                    <w:t>%</w:t>
                  </w:r>
                  <w:r w:rsidRPr="00753AFD">
                    <w:rPr>
                      <w:color w:val="000000"/>
                      <w:sz w:val="18"/>
                      <w:szCs w:val="18"/>
                      <w:lang w:val="en-US" w:eastAsia="ro-MD"/>
                    </w:rPr>
                    <w:t xml:space="preserve">, </w:t>
                  </w:r>
                  <w:proofErr w:type="spellStart"/>
                  <w:r w:rsidRPr="00753AFD">
                    <w:rPr>
                      <w:color w:val="000000"/>
                      <w:sz w:val="18"/>
                      <w:szCs w:val="18"/>
                      <w:lang w:val="en-US" w:eastAsia="ro-MD"/>
                    </w:rPr>
                    <w:t>dacă</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opțiunea</w:t>
                  </w:r>
                  <w:proofErr w:type="spellEnd"/>
                  <w:r w:rsidRPr="00753AFD">
                    <w:rPr>
                      <w:color w:val="000000"/>
                      <w:sz w:val="18"/>
                      <w:szCs w:val="18"/>
                      <w:lang w:val="en-US" w:eastAsia="ro-MD"/>
                    </w:rPr>
                    <w:t> </w:t>
                  </w:r>
                  <w:r w:rsidRPr="00753AFD">
                    <w:rPr>
                      <w:i/>
                      <w:iCs/>
                      <w:color w:val="000000"/>
                      <w:sz w:val="18"/>
                      <w:szCs w:val="18"/>
                      <w:lang w:val="en-US" w:eastAsia="ro-MD"/>
                    </w:rPr>
                    <w:t>j</w:t>
                  </w:r>
                  <w:r w:rsidRPr="00753AFD">
                    <w:rPr>
                      <w:color w:val="000000"/>
                      <w:sz w:val="18"/>
                      <w:szCs w:val="18"/>
                      <w:lang w:val="en-US" w:eastAsia="ro-MD"/>
                    </w:rPr>
                    <w:t> </w:t>
                  </w:r>
                  <w:proofErr w:type="spellStart"/>
                  <w:r w:rsidRPr="00753AFD">
                    <w:rPr>
                      <w:color w:val="000000"/>
                      <w:sz w:val="18"/>
                      <w:szCs w:val="18"/>
                      <w:lang w:val="en-US" w:eastAsia="ro-MD"/>
                    </w:rPr>
                    <w:t>este</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încadrată</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în</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categoria</w:t>
                  </w:r>
                  <w:proofErr w:type="spellEnd"/>
                  <w:r w:rsidRPr="00753AFD">
                    <w:rPr>
                      <w:color w:val="000000"/>
                      <w:sz w:val="18"/>
                      <w:szCs w:val="18"/>
                      <w:lang w:val="en-US" w:eastAsia="ro-MD"/>
                    </w:rPr>
                    <w:t xml:space="preserve"> de </w:t>
                  </w:r>
                  <w:proofErr w:type="spellStart"/>
                  <w:r w:rsidRPr="00753AFD">
                    <w:rPr>
                      <w:color w:val="000000"/>
                      <w:sz w:val="18"/>
                      <w:szCs w:val="18"/>
                      <w:lang w:val="en-US" w:eastAsia="ro-MD"/>
                    </w:rPr>
                    <w:t>risc</w:t>
                  </w:r>
                  <w:proofErr w:type="spellEnd"/>
                  <w:r w:rsidRPr="00753AFD">
                    <w:rPr>
                      <w:color w:val="000000"/>
                      <w:sz w:val="18"/>
                      <w:szCs w:val="18"/>
                      <w:lang w:val="en-US" w:eastAsia="ro-MD"/>
                    </w:rPr>
                    <w:t xml:space="preserve"> de </w:t>
                  </w:r>
                  <w:proofErr w:type="spellStart"/>
                  <w:r w:rsidRPr="00753AFD">
                    <w:rPr>
                      <w:color w:val="000000"/>
                      <w:sz w:val="18"/>
                      <w:szCs w:val="18"/>
                      <w:lang w:val="en-US" w:eastAsia="ro-MD"/>
                    </w:rPr>
                    <w:t>rată</w:t>
                  </w:r>
                  <w:proofErr w:type="spellEnd"/>
                  <w:r w:rsidRPr="00753AFD">
                    <w:rPr>
                      <w:color w:val="000000"/>
                      <w:sz w:val="18"/>
                      <w:szCs w:val="18"/>
                      <w:lang w:val="en-US" w:eastAsia="ro-MD"/>
                    </w:rPr>
                    <w:t xml:space="preserve"> a </w:t>
                  </w:r>
                  <w:proofErr w:type="spellStart"/>
                  <w:r w:rsidRPr="00753AFD">
                    <w:rPr>
                      <w:color w:val="000000"/>
                      <w:sz w:val="18"/>
                      <w:szCs w:val="18"/>
                      <w:lang w:val="en-US" w:eastAsia="ro-MD"/>
                    </w:rPr>
                    <w:t>dobânzii</w:t>
                  </w:r>
                  <w:proofErr w:type="spellEnd"/>
                  <w:r w:rsidRPr="00753AFD">
                    <w:rPr>
                      <w:color w:val="000000"/>
                      <w:sz w:val="18"/>
                      <w:szCs w:val="18"/>
                      <w:lang w:val="en-US" w:eastAsia="ro-MD"/>
                    </w:rPr>
                    <w:t>;</w:t>
                  </w:r>
                </w:p>
              </w:tc>
            </w:tr>
            <w:tr w:rsidR="002D6B17" w:rsidRPr="00274BD4" w14:paraId="16202D22" w14:textId="77777777" w:rsidTr="00753AFD">
              <w:trPr>
                <w:trHeight w:val="46"/>
              </w:trPr>
              <w:tc>
                <w:tcPr>
                  <w:tcW w:w="1063" w:type="dxa"/>
                  <w:vMerge/>
                  <w:shd w:val="clear" w:color="auto" w:fill="FFFFFF"/>
                  <w:vAlign w:val="center"/>
                  <w:hideMark/>
                </w:tcPr>
                <w:p w14:paraId="216972A1" w14:textId="77777777" w:rsidR="002D6B17" w:rsidRPr="00753AFD" w:rsidRDefault="002D6B17" w:rsidP="002D6B17">
                  <w:pPr>
                    <w:jc w:val="center"/>
                    <w:rPr>
                      <w:color w:val="000000"/>
                      <w:sz w:val="18"/>
                      <w:szCs w:val="18"/>
                      <w:lang w:val="en-US" w:eastAsia="ro-MD"/>
                    </w:rPr>
                  </w:pPr>
                </w:p>
              </w:tc>
              <w:tc>
                <w:tcPr>
                  <w:tcW w:w="2272" w:type="dxa"/>
                  <w:shd w:val="clear" w:color="auto" w:fill="FFFFFF"/>
                  <w:tcMar>
                    <w:top w:w="0" w:type="dxa"/>
                    <w:left w:w="0" w:type="dxa"/>
                    <w:bottom w:w="0" w:type="dxa"/>
                    <w:right w:w="0" w:type="dxa"/>
                  </w:tcMar>
                  <w:hideMark/>
                </w:tcPr>
                <w:p w14:paraId="655F5A82" w14:textId="77777777" w:rsidR="002D6B17" w:rsidRPr="00753AFD" w:rsidRDefault="002D6B17" w:rsidP="002D6B17">
                  <w:pPr>
                    <w:spacing w:before="60" w:after="60"/>
                    <w:jc w:val="both"/>
                    <w:rPr>
                      <w:color w:val="000000"/>
                      <w:sz w:val="18"/>
                      <w:szCs w:val="18"/>
                      <w:lang w:val="en-US" w:eastAsia="ro-MD"/>
                    </w:rPr>
                  </w:pPr>
                  <w:r w:rsidRPr="00753AFD">
                    <w:rPr>
                      <w:color w:val="000000"/>
                      <w:sz w:val="18"/>
                      <w:szCs w:val="18"/>
                      <w:lang w:val="en-US" w:eastAsia="ro-MD"/>
                    </w:rPr>
                    <w:t xml:space="preserve">0,1, </w:t>
                  </w:r>
                  <w:proofErr w:type="spellStart"/>
                  <w:r w:rsidRPr="00753AFD">
                    <w:rPr>
                      <w:color w:val="000000"/>
                      <w:sz w:val="18"/>
                      <w:szCs w:val="18"/>
                      <w:lang w:val="en-US" w:eastAsia="ro-MD"/>
                    </w:rPr>
                    <w:t>dac</w:t>
                  </w:r>
                  <w:r w:rsidRPr="00753AFD">
                    <w:rPr>
                      <w:rFonts w:hint="eastAsia"/>
                      <w:color w:val="000000"/>
                      <w:sz w:val="18"/>
                      <w:szCs w:val="18"/>
                      <w:lang w:val="en-US" w:eastAsia="ro-MD"/>
                    </w:rPr>
                    <w:t>ă</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opțiunea</w:t>
                  </w:r>
                  <w:proofErr w:type="spellEnd"/>
                  <w:r w:rsidRPr="00753AFD">
                    <w:rPr>
                      <w:rFonts w:hint="eastAsia"/>
                      <w:color w:val="000000"/>
                      <w:sz w:val="18"/>
                      <w:szCs w:val="18"/>
                      <w:lang w:val="en-US" w:eastAsia="ro-MD"/>
                    </w:rPr>
                    <w:t> </w:t>
                  </w:r>
                  <w:r w:rsidRPr="00753AFD">
                    <w:rPr>
                      <w:i/>
                      <w:iCs/>
                      <w:color w:val="000000"/>
                      <w:sz w:val="18"/>
                      <w:szCs w:val="18"/>
                      <w:lang w:val="en-US" w:eastAsia="ro-MD"/>
                    </w:rPr>
                    <w:t>j</w:t>
                  </w:r>
                  <w:r w:rsidRPr="00753AFD">
                    <w:rPr>
                      <w:rFonts w:hint="eastAsia"/>
                      <w:color w:val="000000"/>
                      <w:sz w:val="18"/>
                      <w:szCs w:val="18"/>
                      <w:lang w:val="en-US" w:eastAsia="ro-MD"/>
                    </w:rPr>
                    <w:t> </w:t>
                  </w:r>
                  <w:proofErr w:type="spellStart"/>
                  <w:r w:rsidRPr="00753AFD">
                    <w:rPr>
                      <w:color w:val="000000"/>
                      <w:sz w:val="18"/>
                      <w:szCs w:val="18"/>
                      <w:lang w:val="en-US" w:eastAsia="ro-MD"/>
                    </w:rPr>
                    <w:t>este</w:t>
                  </w:r>
                  <w:proofErr w:type="spellEnd"/>
                  <w:r w:rsidRPr="00753AFD">
                    <w:rPr>
                      <w:color w:val="000000"/>
                      <w:sz w:val="18"/>
                      <w:szCs w:val="18"/>
                      <w:lang w:val="en-US" w:eastAsia="ro-MD"/>
                    </w:rPr>
                    <w:t xml:space="preserve"> </w:t>
                  </w:r>
                  <w:proofErr w:type="spellStart"/>
                  <w:r w:rsidRPr="00753AFD">
                    <w:rPr>
                      <w:rFonts w:hint="eastAsia"/>
                      <w:color w:val="000000"/>
                      <w:sz w:val="18"/>
                      <w:szCs w:val="18"/>
                      <w:lang w:val="en-US" w:eastAsia="ro-MD"/>
                    </w:rPr>
                    <w:t>î</w:t>
                  </w:r>
                  <w:r w:rsidRPr="00753AFD">
                    <w:rPr>
                      <w:color w:val="000000"/>
                      <w:sz w:val="18"/>
                      <w:szCs w:val="18"/>
                      <w:lang w:val="en-US" w:eastAsia="ro-MD"/>
                    </w:rPr>
                    <w:t>ncadrat</w:t>
                  </w:r>
                  <w:r w:rsidRPr="00753AFD">
                    <w:rPr>
                      <w:rFonts w:hint="eastAsia"/>
                      <w:color w:val="000000"/>
                      <w:sz w:val="18"/>
                      <w:szCs w:val="18"/>
                      <w:lang w:val="en-US" w:eastAsia="ro-MD"/>
                    </w:rPr>
                    <w:t>ă</w:t>
                  </w:r>
                  <w:proofErr w:type="spellEnd"/>
                  <w:r w:rsidRPr="00753AFD">
                    <w:rPr>
                      <w:color w:val="000000"/>
                      <w:sz w:val="18"/>
                      <w:szCs w:val="18"/>
                      <w:lang w:val="en-US" w:eastAsia="ro-MD"/>
                    </w:rPr>
                    <w:t xml:space="preserve"> </w:t>
                  </w:r>
                  <w:proofErr w:type="spellStart"/>
                  <w:r w:rsidRPr="00753AFD">
                    <w:rPr>
                      <w:rFonts w:hint="eastAsia"/>
                      <w:color w:val="000000"/>
                      <w:sz w:val="18"/>
                      <w:szCs w:val="18"/>
                      <w:lang w:val="en-US" w:eastAsia="ro-MD"/>
                    </w:rPr>
                    <w:t>î</w:t>
                  </w:r>
                  <w:r w:rsidRPr="00753AFD">
                    <w:rPr>
                      <w:color w:val="000000"/>
                      <w:sz w:val="18"/>
                      <w:szCs w:val="18"/>
                      <w:lang w:val="en-US" w:eastAsia="ro-MD"/>
                    </w:rPr>
                    <w:t>n</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categoria</w:t>
                  </w:r>
                  <w:proofErr w:type="spellEnd"/>
                  <w:r w:rsidRPr="00753AFD">
                    <w:rPr>
                      <w:color w:val="000000"/>
                      <w:sz w:val="18"/>
                      <w:szCs w:val="18"/>
                      <w:lang w:val="en-US" w:eastAsia="ro-MD"/>
                    </w:rPr>
                    <w:t xml:space="preserve"> de </w:t>
                  </w:r>
                  <w:proofErr w:type="spellStart"/>
                  <w:r w:rsidRPr="00753AFD">
                    <w:rPr>
                      <w:color w:val="000000"/>
                      <w:sz w:val="18"/>
                      <w:szCs w:val="18"/>
                      <w:lang w:val="en-US" w:eastAsia="ro-MD"/>
                    </w:rPr>
                    <w:t>risc</w:t>
                  </w:r>
                  <w:proofErr w:type="spellEnd"/>
                  <w:r w:rsidRPr="00753AFD">
                    <w:rPr>
                      <w:color w:val="000000"/>
                      <w:sz w:val="18"/>
                      <w:szCs w:val="18"/>
                      <w:lang w:val="en-US" w:eastAsia="ro-MD"/>
                    </w:rPr>
                    <w:t xml:space="preserve"> de </w:t>
                  </w:r>
                  <w:proofErr w:type="spellStart"/>
                  <w:r w:rsidRPr="00753AFD">
                    <w:rPr>
                      <w:color w:val="000000"/>
                      <w:sz w:val="18"/>
                      <w:szCs w:val="18"/>
                      <w:lang w:val="en-US" w:eastAsia="ro-MD"/>
                    </w:rPr>
                    <w:t>marf</w:t>
                  </w:r>
                  <w:r w:rsidRPr="00753AFD">
                    <w:rPr>
                      <w:rFonts w:hint="eastAsia"/>
                      <w:color w:val="000000"/>
                      <w:sz w:val="18"/>
                      <w:szCs w:val="18"/>
                      <w:lang w:val="en-US" w:eastAsia="ro-MD"/>
                    </w:rPr>
                    <w:t>ă</w:t>
                  </w:r>
                  <w:proofErr w:type="spellEnd"/>
                  <w:r w:rsidRPr="00753AFD">
                    <w:rPr>
                      <w:color w:val="000000"/>
                      <w:sz w:val="18"/>
                      <w:szCs w:val="18"/>
                      <w:lang w:val="en-US" w:eastAsia="ro-MD"/>
                    </w:rPr>
                    <w:t>.</w:t>
                  </w:r>
                </w:p>
              </w:tc>
            </w:tr>
          </w:tbl>
          <w:p w14:paraId="489AC6AE" w14:textId="77777777" w:rsidR="002D6B17" w:rsidRPr="009C72AC" w:rsidRDefault="002D6B17" w:rsidP="002D6B17">
            <w:pPr>
              <w:tabs>
                <w:tab w:val="left" w:pos="0"/>
                <w:tab w:val="left" w:pos="38"/>
                <w:tab w:val="left" w:pos="179"/>
              </w:tabs>
              <w:rPr>
                <w:vanish/>
                <w:sz w:val="18"/>
                <w:szCs w:val="18"/>
                <w:lang w:val="en-US"/>
              </w:rPr>
            </w:pPr>
          </w:p>
          <w:p w14:paraId="74C4CE02" w14:textId="77777777" w:rsidR="002D6B17" w:rsidRPr="00753AFD" w:rsidRDefault="002D6B17" w:rsidP="002D6B17">
            <w:pPr>
              <w:tabs>
                <w:tab w:val="left" w:pos="38"/>
              </w:tabs>
              <w:ind w:firstLine="426"/>
              <w:rPr>
                <w:sz w:val="18"/>
                <w:szCs w:val="18"/>
                <w:lang w:val="en-US"/>
              </w:rPr>
            </w:pPr>
            <w:r w:rsidRPr="00753AFD">
              <w:rPr>
                <w:b/>
                <w:bCs/>
                <w:sz w:val="18"/>
                <w:szCs w:val="18"/>
                <w:lang w:val="en-US"/>
              </w:rPr>
              <w:t>12.</w:t>
            </w:r>
            <w:r w:rsidRPr="00753AFD">
              <w:rPr>
                <w:sz w:val="18"/>
                <w:szCs w:val="18"/>
                <w:lang w:val="en-US"/>
              </w:rPr>
              <w:t> </w:t>
            </w:r>
            <w:proofErr w:type="spellStart"/>
            <w:r w:rsidRPr="00753AFD">
              <w:rPr>
                <w:sz w:val="18"/>
                <w:szCs w:val="18"/>
                <w:lang w:val="en-US"/>
              </w:rPr>
              <w:t>În</w:t>
            </w:r>
            <w:proofErr w:type="spellEnd"/>
            <w:r w:rsidRPr="00753AFD">
              <w:rPr>
                <w:sz w:val="18"/>
                <w:szCs w:val="18"/>
                <w:lang w:val="en-US"/>
              </w:rPr>
              <w:t xml:space="preserve"> </w:t>
            </w:r>
            <w:proofErr w:type="spellStart"/>
            <w:r w:rsidRPr="00753AFD">
              <w:rPr>
                <w:sz w:val="18"/>
                <w:szCs w:val="18"/>
                <w:lang w:val="en-US"/>
              </w:rPr>
              <w:t>sensul</w:t>
            </w:r>
            <w:proofErr w:type="spellEnd"/>
            <w:r w:rsidRPr="00753AFD">
              <w:rPr>
                <w:sz w:val="18"/>
                <w:szCs w:val="18"/>
                <w:lang w:val="en-US"/>
              </w:rPr>
              <w:t xml:space="preserve"> </w:t>
            </w:r>
            <w:proofErr w:type="spellStart"/>
            <w:r w:rsidRPr="00753AFD">
              <w:rPr>
                <w:sz w:val="18"/>
                <w:szCs w:val="18"/>
                <w:lang w:val="en-US"/>
              </w:rPr>
              <w:t>punctului</w:t>
            </w:r>
            <w:proofErr w:type="spellEnd"/>
            <w:r w:rsidRPr="00753AFD">
              <w:rPr>
                <w:sz w:val="18"/>
                <w:szCs w:val="18"/>
                <w:lang w:val="en-US"/>
              </w:rPr>
              <w:t xml:space="preserve"> 10 din </w:t>
            </w:r>
            <w:proofErr w:type="spellStart"/>
            <w:r w:rsidRPr="00753AFD">
              <w:rPr>
                <w:sz w:val="18"/>
                <w:szCs w:val="18"/>
                <w:lang w:val="en-US"/>
              </w:rPr>
              <w:t>prezenta</w:t>
            </w:r>
            <w:proofErr w:type="spellEnd"/>
            <w:r w:rsidRPr="00753AFD">
              <w:rPr>
                <w:sz w:val="18"/>
                <w:szCs w:val="18"/>
                <w:lang w:val="en-US"/>
              </w:rPr>
              <w:t xml:space="preserve"> </w:t>
            </w:r>
            <w:proofErr w:type="spellStart"/>
            <w:r w:rsidRPr="00753AFD">
              <w:rPr>
                <w:sz w:val="18"/>
                <w:szCs w:val="18"/>
                <w:lang w:val="en-US"/>
              </w:rPr>
              <w:t>anexă</w:t>
            </w:r>
            <w:proofErr w:type="spellEnd"/>
            <w:r w:rsidRPr="00753AFD">
              <w:rPr>
                <w:sz w:val="18"/>
                <w:szCs w:val="18"/>
                <w:lang w:val="en-US"/>
              </w:rPr>
              <w:t xml:space="preserve">, </w:t>
            </w:r>
            <w:proofErr w:type="spellStart"/>
            <w:r w:rsidRPr="00753AFD">
              <w:rPr>
                <w:sz w:val="18"/>
                <w:szCs w:val="18"/>
                <w:lang w:val="en-US"/>
              </w:rPr>
              <w:t>băncile</w:t>
            </w:r>
            <w:proofErr w:type="spellEnd"/>
            <w:r w:rsidRPr="00753AFD">
              <w:rPr>
                <w:sz w:val="18"/>
                <w:szCs w:val="18"/>
                <w:lang w:val="en-US"/>
              </w:rPr>
              <w:t xml:space="preserve"> </w:t>
            </w:r>
            <w:proofErr w:type="spellStart"/>
            <w:r w:rsidRPr="00753AFD">
              <w:rPr>
                <w:sz w:val="18"/>
                <w:szCs w:val="18"/>
                <w:lang w:val="en-US"/>
              </w:rPr>
              <w:t>determină</w:t>
            </w:r>
            <w:proofErr w:type="spellEnd"/>
            <w:r w:rsidRPr="00753AFD">
              <w:rPr>
                <w:sz w:val="18"/>
                <w:szCs w:val="18"/>
                <w:lang w:val="en-US"/>
              </w:rPr>
              <w:t xml:space="preserve"> </w:t>
            </w:r>
            <w:proofErr w:type="spellStart"/>
            <w:r w:rsidRPr="00753AFD">
              <w:rPr>
                <w:sz w:val="18"/>
                <w:szCs w:val="18"/>
                <w:lang w:val="en-US"/>
              </w:rPr>
              <w:t>volatilitatea</w:t>
            </w:r>
            <w:proofErr w:type="spellEnd"/>
            <w:r w:rsidRPr="00753AFD">
              <w:rPr>
                <w:sz w:val="18"/>
                <w:szCs w:val="18"/>
                <w:lang w:val="en-US"/>
              </w:rPr>
              <w:t xml:space="preserve"> </w:t>
            </w:r>
            <w:proofErr w:type="spellStart"/>
            <w:r w:rsidRPr="00753AFD">
              <w:rPr>
                <w:sz w:val="18"/>
                <w:szCs w:val="18"/>
                <w:lang w:val="en-US"/>
              </w:rPr>
              <w:t>reglementată</w:t>
            </w:r>
            <w:proofErr w:type="spellEnd"/>
            <w:r w:rsidRPr="00753AFD">
              <w:rPr>
                <w:sz w:val="18"/>
                <w:szCs w:val="18"/>
                <w:lang w:val="en-US"/>
              </w:rPr>
              <w:t xml:space="preserve"> </w:t>
            </w:r>
            <w:proofErr w:type="gramStart"/>
            <w:r w:rsidRPr="00753AFD">
              <w:rPr>
                <w:sz w:val="18"/>
                <w:szCs w:val="18"/>
                <w:lang w:val="en-US"/>
              </w:rPr>
              <w:t>a</w:t>
            </w:r>
            <w:proofErr w:type="gramEnd"/>
            <w:r w:rsidRPr="00753AFD">
              <w:rPr>
                <w:sz w:val="18"/>
                <w:szCs w:val="18"/>
                <w:lang w:val="en-US"/>
              </w:rPr>
              <w:t xml:space="preserve"> </w:t>
            </w:r>
            <w:proofErr w:type="spellStart"/>
            <w:r w:rsidRPr="00753AFD">
              <w:rPr>
                <w:sz w:val="18"/>
                <w:szCs w:val="18"/>
                <w:lang w:val="en-US"/>
              </w:rPr>
              <w:t>opțiunii</w:t>
            </w:r>
            <w:proofErr w:type="spellEnd"/>
            <w:r w:rsidRPr="00753AFD">
              <w:rPr>
                <w:sz w:val="18"/>
                <w:szCs w:val="18"/>
                <w:lang w:val="en-US"/>
              </w:rPr>
              <w:t xml:space="preserve"> pe </w:t>
            </w:r>
            <w:proofErr w:type="spellStart"/>
            <w:r w:rsidRPr="00753AFD">
              <w:rPr>
                <w:sz w:val="18"/>
                <w:szCs w:val="18"/>
                <w:lang w:val="en-US"/>
              </w:rPr>
              <w:t>baza</w:t>
            </w:r>
            <w:proofErr w:type="spellEnd"/>
            <w:r w:rsidRPr="00753AFD">
              <w:rPr>
                <w:sz w:val="18"/>
                <w:szCs w:val="18"/>
                <w:lang w:val="en-US"/>
              </w:rPr>
              <w:t xml:space="preserve"> </w:t>
            </w:r>
            <w:proofErr w:type="spellStart"/>
            <w:r w:rsidRPr="00753AFD">
              <w:rPr>
                <w:sz w:val="18"/>
                <w:szCs w:val="18"/>
                <w:lang w:val="en-US"/>
              </w:rPr>
              <w:t>categoriei</w:t>
            </w:r>
            <w:proofErr w:type="spellEnd"/>
            <w:r w:rsidRPr="00753AFD">
              <w:rPr>
                <w:sz w:val="18"/>
                <w:szCs w:val="18"/>
                <w:lang w:val="en-US"/>
              </w:rPr>
              <w:t xml:space="preserve"> de </w:t>
            </w:r>
            <w:proofErr w:type="spellStart"/>
            <w:r w:rsidRPr="00753AFD">
              <w:rPr>
                <w:sz w:val="18"/>
                <w:szCs w:val="18"/>
                <w:lang w:val="en-US"/>
              </w:rPr>
              <w:t>risc</w:t>
            </w:r>
            <w:proofErr w:type="spellEnd"/>
            <w:r w:rsidRPr="00753AFD">
              <w:rPr>
                <w:sz w:val="18"/>
                <w:szCs w:val="18"/>
                <w:lang w:val="en-US"/>
              </w:rPr>
              <w:t xml:space="preserve"> a </w:t>
            </w:r>
            <w:proofErr w:type="spellStart"/>
            <w:r w:rsidRPr="00753AFD">
              <w:rPr>
                <w:sz w:val="18"/>
                <w:szCs w:val="18"/>
                <w:lang w:val="en-US"/>
              </w:rPr>
              <w:t>tranzacției</w:t>
            </w:r>
            <w:proofErr w:type="spellEnd"/>
            <w:r w:rsidRPr="00753AFD">
              <w:rPr>
                <w:sz w:val="18"/>
                <w:szCs w:val="18"/>
                <w:lang w:val="en-US"/>
              </w:rPr>
              <w:t xml:space="preserve"> </w:t>
            </w:r>
            <w:proofErr w:type="spellStart"/>
            <w:r w:rsidRPr="00753AFD">
              <w:rPr>
                <w:sz w:val="18"/>
                <w:szCs w:val="18"/>
                <w:lang w:val="en-US"/>
              </w:rPr>
              <w:t>și</w:t>
            </w:r>
            <w:proofErr w:type="spellEnd"/>
            <w:r w:rsidRPr="00753AFD">
              <w:rPr>
                <w:sz w:val="18"/>
                <w:szCs w:val="18"/>
                <w:lang w:val="en-US"/>
              </w:rPr>
              <w:t xml:space="preserve"> a </w:t>
            </w:r>
            <w:proofErr w:type="spellStart"/>
            <w:r w:rsidRPr="00753AFD">
              <w:rPr>
                <w:sz w:val="18"/>
                <w:szCs w:val="18"/>
                <w:lang w:val="en-US"/>
              </w:rPr>
              <w:t>naturii</w:t>
            </w:r>
            <w:proofErr w:type="spellEnd"/>
            <w:r w:rsidRPr="00753AFD">
              <w:rPr>
                <w:sz w:val="18"/>
                <w:szCs w:val="18"/>
                <w:lang w:val="en-US"/>
              </w:rPr>
              <w:t xml:space="preserve"> </w:t>
            </w:r>
            <w:proofErr w:type="spellStart"/>
            <w:r w:rsidRPr="00753AFD">
              <w:rPr>
                <w:sz w:val="18"/>
                <w:szCs w:val="18"/>
                <w:lang w:val="en-US"/>
              </w:rPr>
              <w:t>instrumentului-suport</w:t>
            </w:r>
            <w:proofErr w:type="spellEnd"/>
            <w:r w:rsidRPr="00753AFD">
              <w:rPr>
                <w:sz w:val="18"/>
                <w:szCs w:val="18"/>
                <w:lang w:val="en-US"/>
              </w:rPr>
              <w:t xml:space="preserve"> al </w:t>
            </w:r>
            <w:proofErr w:type="spellStart"/>
            <w:r w:rsidRPr="00753AFD">
              <w:rPr>
                <w:sz w:val="18"/>
                <w:szCs w:val="18"/>
                <w:lang w:val="en-US"/>
              </w:rPr>
              <w:t>opțiunii</w:t>
            </w:r>
            <w:proofErr w:type="spellEnd"/>
            <w:r w:rsidRPr="00753AFD">
              <w:rPr>
                <w:sz w:val="18"/>
                <w:szCs w:val="18"/>
                <w:lang w:val="en-US"/>
              </w:rPr>
              <w:t xml:space="preserve"> </w:t>
            </w:r>
            <w:proofErr w:type="spellStart"/>
            <w:r w:rsidRPr="00753AFD">
              <w:rPr>
                <w:sz w:val="18"/>
                <w:szCs w:val="18"/>
                <w:lang w:val="en-US"/>
              </w:rPr>
              <w:t>în</w:t>
            </w:r>
            <w:proofErr w:type="spellEnd"/>
            <w:r w:rsidRPr="00753AFD">
              <w:rPr>
                <w:sz w:val="18"/>
                <w:szCs w:val="18"/>
                <w:lang w:val="en-US"/>
              </w:rPr>
              <w:t xml:space="preserve"> </w:t>
            </w:r>
            <w:proofErr w:type="spellStart"/>
            <w:r w:rsidRPr="00753AFD">
              <w:rPr>
                <w:sz w:val="18"/>
                <w:szCs w:val="18"/>
                <w:lang w:val="en-US"/>
              </w:rPr>
              <w:t>conformitate</w:t>
            </w:r>
            <w:proofErr w:type="spellEnd"/>
            <w:r w:rsidRPr="00753AFD">
              <w:rPr>
                <w:sz w:val="18"/>
                <w:szCs w:val="18"/>
                <w:lang w:val="en-US"/>
              </w:rPr>
              <w:t xml:space="preserve"> cu </w:t>
            </w:r>
            <w:proofErr w:type="spellStart"/>
            <w:r w:rsidRPr="00753AFD">
              <w:rPr>
                <w:sz w:val="18"/>
                <w:szCs w:val="18"/>
                <w:lang w:val="en-US"/>
              </w:rPr>
              <w:t>tabelul</w:t>
            </w:r>
            <w:proofErr w:type="spellEnd"/>
            <w:r w:rsidRPr="00753AFD">
              <w:rPr>
                <w:sz w:val="18"/>
                <w:szCs w:val="18"/>
                <w:lang w:val="en-US"/>
              </w:rPr>
              <w:t xml:space="preserve"> </w:t>
            </w:r>
            <w:proofErr w:type="spellStart"/>
            <w:r w:rsidRPr="00753AFD">
              <w:rPr>
                <w:sz w:val="18"/>
                <w:szCs w:val="18"/>
                <w:lang w:val="en-US"/>
              </w:rPr>
              <w:t>următor</w:t>
            </w:r>
            <w:proofErr w:type="spellEnd"/>
            <w:r w:rsidRPr="00753AFD">
              <w:rPr>
                <w:sz w:val="18"/>
                <w:szCs w:val="18"/>
                <w:lang w:val="en-US"/>
              </w:rPr>
              <w:t>:</w:t>
            </w:r>
          </w:p>
          <w:p w14:paraId="3D2029E6" w14:textId="77777777" w:rsidR="002D6B17" w:rsidRPr="00383F39" w:rsidRDefault="002D6B17" w:rsidP="002D6B17">
            <w:pPr>
              <w:jc w:val="right"/>
              <w:rPr>
                <w:sz w:val="18"/>
                <w:szCs w:val="18"/>
                <w:lang w:val="en-US"/>
              </w:rPr>
            </w:pPr>
            <w:proofErr w:type="gramStart"/>
            <w:r w:rsidRPr="00383F39">
              <w:rPr>
                <w:i/>
                <w:iCs/>
                <w:sz w:val="18"/>
                <w:szCs w:val="18"/>
                <w:lang w:val="en-US"/>
              </w:rPr>
              <w:t>Tabel</w:t>
            </w:r>
            <w:proofErr w:type="gramEnd"/>
          </w:p>
          <w:tbl>
            <w:tblPr>
              <w:tblW w:w="314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56"/>
              <w:gridCol w:w="1671"/>
              <w:gridCol w:w="615"/>
            </w:tblGrid>
            <w:tr w:rsidR="002D6B17" w:rsidRPr="00383F39" w14:paraId="02CCD253" w14:textId="77777777" w:rsidTr="009C72AC">
              <w:trPr>
                <w:trHeight w:val="485"/>
              </w:trPr>
              <w:tc>
                <w:tcPr>
                  <w:tcW w:w="8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F42A1C" w14:textId="77777777" w:rsidR="002D6B17" w:rsidRPr="00383F39" w:rsidRDefault="002D6B17" w:rsidP="002D6B17">
                  <w:pPr>
                    <w:spacing w:before="60" w:after="60"/>
                    <w:jc w:val="center"/>
                    <w:rPr>
                      <w:b/>
                      <w:bCs/>
                      <w:color w:val="000000"/>
                      <w:sz w:val="18"/>
                      <w:szCs w:val="18"/>
                      <w:lang w:val="en-US" w:eastAsia="ro-MD"/>
                    </w:rPr>
                  </w:pPr>
                  <w:proofErr w:type="spellStart"/>
                  <w:r w:rsidRPr="00383F39">
                    <w:rPr>
                      <w:b/>
                      <w:bCs/>
                      <w:color w:val="000000"/>
                      <w:sz w:val="18"/>
                      <w:szCs w:val="18"/>
                      <w:lang w:val="en-US" w:eastAsia="ro-MD"/>
                    </w:rPr>
                    <w:t>Categorie</w:t>
                  </w:r>
                  <w:proofErr w:type="spellEnd"/>
                  <w:r w:rsidRPr="00383F39">
                    <w:rPr>
                      <w:b/>
                      <w:bCs/>
                      <w:color w:val="000000"/>
                      <w:sz w:val="18"/>
                      <w:szCs w:val="18"/>
                      <w:lang w:val="en-US" w:eastAsia="ro-MD"/>
                    </w:rPr>
                    <w:t xml:space="preserve"> de </w:t>
                  </w:r>
                  <w:proofErr w:type="spellStart"/>
                  <w:r w:rsidRPr="00383F39">
                    <w:rPr>
                      <w:b/>
                      <w:bCs/>
                      <w:color w:val="000000"/>
                      <w:sz w:val="18"/>
                      <w:szCs w:val="18"/>
                      <w:lang w:val="en-US" w:eastAsia="ro-MD"/>
                    </w:rPr>
                    <w:t>risc</w:t>
                  </w:r>
                  <w:proofErr w:type="spellEnd"/>
                </w:p>
              </w:tc>
              <w:tc>
                <w:tcPr>
                  <w:tcW w:w="1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002792" w14:textId="77777777" w:rsidR="002D6B17" w:rsidRPr="00383F39" w:rsidRDefault="002D6B17" w:rsidP="002D6B17">
                  <w:pPr>
                    <w:spacing w:before="60" w:after="60"/>
                    <w:jc w:val="center"/>
                    <w:rPr>
                      <w:b/>
                      <w:bCs/>
                      <w:color w:val="000000"/>
                      <w:sz w:val="18"/>
                      <w:szCs w:val="18"/>
                      <w:lang w:val="en-US" w:eastAsia="ro-MD"/>
                    </w:rPr>
                  </w:pPr>
                  <w:proofErr w:type="spellStart"/>
                  <w:r w:rsidRPr="00383F39">
                    <w:rPr>
                      <w:b/>
                      <w:bCs/>
                      <w:color w:val="000000"/>
                      <w:sz w:val="18"/>
                      <w:szCs w:val="18"/>
                      <w:lang w:val="en-US" w:eastAsia="ro-MD"/>
                    </w:rPr>
                    <w:t>Instrumentul-suport</w:t>
                  </w:r>
                  <w:proofErr w:type="spellEnd"/>
                </w:p>
              </w:tc>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FAFD1B" w14:textId="77777777" w:rsidR="002D6B17" w:rsidRPr="00383F39" w:rsidRDefault="002D6B17" w:rsidP="002D6B17">
                  <w:pPr>
                    <w:spacing w:before="60" w:after="60"/>
                    <w:jc w:val="both"/>
                    <w:rPr>
                      <w:b/>
                      <w:bCs/>
                      <w:color w:val="000000"/>
                      <w:sz w:val="18"/>
                      <w:szCs w:val="18"/>
                      <w:lang w:val="en-US" w:eastAsia="ro-MD"/>
                    </w:rPr>
                  </w:pPr>
                  <w:proofErr w:type="spellStart"/>
                  <w:r w:rsidRPr="00383F39">
                    <w:rPr>
                      <w:b/>
                      <w:bCs/>
                      <w:color w:val="000000"/>
                      <w:sz w:val="18"/>
                      <w:szCs w:val="18"/>
                      <w:lang w:val="en-US" w:eastAsia="ro-MD"/>
                    </w:rPr>
                    <w:t>Volatilitatea</w:t>
                  </w:r>
                  <w:proofErr w:type="spellEnd"/>
                  <w:r w:rsidRPr="00383F39">
                    <w:rPr>
                      <w:b/>
                      <w:bCs/>
                      <w:color w:val="000000"/>
                      <w:sz w:val="18"/>
                      <w:szCs w:val="18"/>
                      <w:lang w:val="en-US" w:eastAsia="ro-MD"/>
                    </w:rPr>
                    <w:t xml:space="preserve"> </w:t>
                  </w:r>
                  <w:proofErr w:type="spellStart"/>
                  <w:r w:rsidRPr="00383F39">
                    <w:rPr>
                      <w:b/>
                      <w:bCs/>
                      <w:color w:val="000000"/>
                      <w:sz w:val="18"/>
                      <w:szCs w:val="18"/>
                      <w:lang w:val="en-US" w:eastAsia="ro-MD"/>
                    </w:rPr>
                    <w:t>reglementată</w:t>
                  </w:r>
                  <w:proofErr w:type="spellEnd"/>
                </w:p>
              </w:tc>
            </w:tr>
            <w:tr w:rsidR="002D6B17" w:rsidRPr="00383F39" w14:paraId="50A92396" w14:textId="77777777" w:rsidTr="009C72AC">
              <w:trPr>
                <w:trHeight w:val="476"/>
              </w:trPr>
              <w:tc>
                <w:tcPr>
                  <w:tcW w:w="8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AD61A5" w14:textId="77777777" w:rsidR="002D6B17" w:rsidRPr="00383F39" w:rsidRDefault="002D6B17" w:rsidP="002D6B17">
                  <w:pPr>
                    <w:spacing w:before="60" w:after="60"/>
                    <w:jc w:val="both"/>
                    <w:rPr>
                      <w:color w:val="000000"/>
                      <w:sz w:val="18"/>
                      <w:szCs w:val="18"/>
                      <w:lang w:val="en-US" w:eastAsia="ro-MD"/>
                    </w:rPr>
                  </w:pPr>
                  <w:r w:rsidRPr="00383F39">
                    <w:rPr>
                      <w:color w:val="000000"/>
                      <w:sz w:val="18"/>
                      <w:szCs w:val="18"/>
                      <w:lang w:val="en-US" w:eastAsia="ro-MD"/>
                    </w:rPr>
                    <w:t xml:space="preserve">Rata </w:t>
                  </w:r>
                  <w:proofErr w:type="spellStart"/>
                  <w:r w:rsidRPr="00383F39">
                    <w:rPr>
                      <w:color w:val="000000"/>
                      <w:sz w:val="18"/>
                      <w:szCs w:val="18"/>
                      <w:lang w:val="en-US" w:eastAsia="ro-MD"/>
                    </w:rPr>
                    <w:t>dobânzii</w:t>
                  </w:r>
                  <w:proofErr w:type="spellEnd"/>
                </w:p>
              </w:tc>
              <w:tc>
                <w:tcPr>
                  <w:tcW w:w="1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879FDB" w14:textId="77777777" w:rsidR="002D6B17" w:rsidRPr="00383F39" w:rsidRDefault="002D6B17" w:rsidP="002D6B17">
                  <w:pPr>
                    <w:spacing w:before="60" w:after="60"/>
                    <w:jc w:val="both"/>
                    <w:rPr>
                      <w:color w:val="000000"/>
                      <w:sz w:val="18"/>
                      <w:szCs w:val="18"/>
                      <w:lang w:val="en-US" w:eastAsia="ro-MD"/>
                    </w:rPr>
                  </w:pPr>
                  <w:proofErr w:type="spellStart"/>
                  <w:r w:rsidRPr="00383F39">
                    <w:rPr>
                      <w:color w:val="000000"/>
                      <w:sz w:val="18"/>
                      <w:szCs w:val="18"/>
                      <w:lang w:val="en-US" w:eastAsia="ro-MD"/>
                    </w:rPr>
                    <w:t>Toate</w:t>
                  </w:r>
                  <w:proofErr w:type="spellEnd"/>
                </w:p>
              </w:tc>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0C65C6" w14:textId="77777777" w:rsidR="002D6B17" w:rsidRPr="00383F39" w:rsidRDefault="002D6B17" w:rsidP="002D6B17">
                  <w:pPr>
                    <w:spacing w:before="60" w:after="60"/>
                    <w:jc w:val="both"/>
                    <w:rPr>
                      <w:color w:val="000000"/>
                      <w:sz w:val="18"/>
                      <w:szCs w:val="18"/>
                      <w:lang w:val="en-US" w:eastAsia="ro-MD"/>
                    </w:rPr>
                  </w:pPr>
                  <w:r w:rsidRPr="00383F39">
                    <w:rPr>
                      <w:color w:val="000000"/>
                      <w:sz w:val="18"/>
                      <w:szCs w:val="18"/>
                      <w:lang w:val="en-US" w:eastAsia="ro-MD"/>
                    </w:rPr>
                    <w:t>50 %</w:t>
                  </w:r>
                </w:p>
              </w:tc>
            </w:tr>
            <w:tr w:rsidR="002D6B17" w:rsidRPr="00383F39" w14:paraId="21CBEA12" w14:textId="77777777" w:rsidTr="009C72AC">
              <w:trPr>
                <w:trHeight w:val="485"/>
              </w:trPr>
              <w:tc>
                <w:tcPr>
                  <w:tcW w:w="85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C7165A" w14:textId="77777777" w:rsidR="002D6B17" w:rsidRPr="00383F39" w:rsidRDefault="002D6B17" w:rsidP="002D6B17">
                  <w:pPr>
                    <w:spacing w:before="60" w:after="60"/>
                    <w:jc w:val="both"/>
                    <w:rPr>
                      <w:color w:val="000000"/>
                      <w:sz w:val="18"/>
                      <w:szCs w:val="18"/>
                      <w:lang w:val="en-US" w:eastAsia="ro-MD"/>
                    </w:rPr>
                  </w:pPr>
                  <w:proofErr w:type="spellStart"/>
                  <w:r w:rsidRPr="00383F39">
                    <w:rPr>
                      <w:color w:val="000000"/>
                      <w:sz w:val="18"/>
                      <w:szCs w:val="18"/>
                      <w:lang w:val="en-US" w:eastAsia="ro-MD"/>
                    </w:rPr>
                    <w:t>Marfă</w:t>
                  </w:r>
                  <w:proofErr w:type="spellEnd"/>
                </w:p>
              </w:tc>
              <w:tc>
                <w:tcPr>
                  <w:tcW w:w="1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B11A8B" w14:textId="77777777" w:rsidR="002D6B17" w:rsidRPr="00383F39" w:rsidRDefault="002D6B17" w:rsidP="002D6B17">
                  <w:pPr>
                    <w:spacing w:before="60" w:after="60"/>
                    <w:jc w:val="both"/>
                    <w:rPr>
                      <w:color w:val="000000"/>
                      <w:sz w:val="18"/>
                      <w:szCs w:val="18"/>
                      <w:lang w:val="en-US" w:eastAsia="ro-MD"/>
                    </w:rPr>
                  </w:pPr>
                  <w:r w:rsidRPr="00383F39">
                    <w:rPr>
                      <w:color w:val="000000"/>
                      <w:sz w:val="18"/>
                      <w:szCs w:val="18"/>
                      <w:lang w:val="en-US" w:eastAsia="ro-MD"/>
                    </w:rPr>
                    <w:t xml:space="preserve">Energia </w:t>
                  </w:r>
                  <w:proofErr w:type="spellStart"/>
                  <w:r w:rsidRPr="00383F39">
                    <w:rPr>
                      <w:color w:val="000000"/>
                      <w:sz w:val="18"/>
                      <w:szCs w:val="18"/>
                      <w:lang w:val="en-US" w:eastAsia="ro-MD"/>
                    </w:rPr>
                    <w:t>electrică</w:t>
                  </w:r>
                  <w:proofErr w:type="spellEnd"/>
                </w:p>
              </w:tc>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54018A" w14:textId="77777777" w:rsidR="002D6B17" w:rsidRPr="00383F39" w:rsidRDefault="002D6B17" w:rsidP="002D6B17">
                  <w:pPr>
                    <w:spacing w:before="60" w:after="60"/>
                    <w:jc w:val="both"/>
                    <w:rPr>
                      <w:color w:val="000000"/>
                      <w:sz w:val="18"/>
                      <w:szCs w:val="18"/>
                      <w:lang w:val="en-US" w:eastAsia="ro-MD"/>
                    </w:rPr>
                  </w:pPr>
                  <w:r w:rsidRPr="00383F39">
                    <w:rPr>
                      <w:color w:val="000000"/>
                      <w:sz w:val="18"/>
                      <w:szCs w:val="18"/>
                      <w:lang w:val="en-US" w:eastAsia="ro-MD"/>
                    </w:rPr>
                    <w:t>150 %</w:t>
                  </w:r>
                </w:p>
              </w:tc>
            </w:tr>
            <w:tr w:rsidR="002D6B17" w:rsidRPr="00753AFD" w14:paraId="7743A212" w14:textId="77777777" w:rsidTr="009C72AC">
              <w:trPr>
                <w:trHeight w:val="100"/>
              </w:trPr>
              <w:tc>
                <w:tcPr>
                  <w:tcW w:w="85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DF6D56" w14:textId="77777777" w:rsidR="002D6B17" w:rsidRPr="00383F39" w:rsidRDefault="002D6B17" w:rsidP="002D6B17">
                  <w:pPr>
                    <w:jc w:val="center"/>
                    <w:rPr>
                      <w:color w:val="000000"/>
                      <w:sz w:val="18"/>
                      <w:szCs w:val="18"/>
                      <w:lang w:val="en-US" w:eastAsia="ro-MD"/>
                    </w:rPr>
                  </w:pPr>
                </w:p>
              </w:tc>
              <w:tc>
                <w:tcPr>
                  <w:tcW w:w="1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7249F1" w14:textId="77777777" w:rsidR="002D6B17" w:rsidRPr="00753AFD" w:rsidRDefault="002D6B17" w:rsidP="002D6B17">
                  <w:pPr>
                    <w:spacing w:before="60" w:after="60"/>
                    <w:jc w:val="both"/>
                    <w:rPr>
                      <w:color w:val="000000"/>
                      <w:sz w:val="18"/>
                      <w:szCs w:val="18"/>
                      <w:lang w:val="en-US" w:eastAsia="ro-MD"/>
                    </w:rPr>
                  </w:pPr>
                  <w:r w:rsidRPr="00753AFD">
                    <w:rPr>
                      <w:color w:val="000000"/>
                      <w:sz w:val="18"/>
                      <w:szCs w:val="18"/>
                      <w:lang w:val="en-US" w:eastAsia="ro-MD"/>
                    </w:rPr>
                    <w:t xml:space="preserve">Alte </w:t>
                  </w:r>
                  <w:proofErr w:type="spellStart"/>
                  <w:r w:rsidRPr="00753AFD">
                    <w:rPr>
                      <w:color w:val="000000"/>
                      <w:sz w:val="18"/>
                      <w:szCs w:val="18"/>
                      <w:lang w:val="en-US" w:eastAsia="ro-MD"/>
                    </w:rPr>
                    <w:t>m</w:t>
                  </w:r>
                  <w:r w:rsidRPr="00753AFD">
                    <w:rPr>
                      <w:rFonts w:hint="eastAsia"/>
                      <w:color w:val="000000"/>
                      <w:sz w:val="18"/>
                      <w:szCs w:val="18"/>
                      <w:lang w:val="en-US" w:eastAsia="ro-MD"/>
                    </w:rPr>
                    <w:t>ă</w:t>
                  </w:r>
                  <w:r w:rsidRPr="00753AFD">
                    <w:rPr>
                      <w:color w:val="000000"/>
                      <w:sz w:val="18"/>
                      <w:szCs w:val="18"/>
                      <w:lang w:val="en-US" w:eastAsia="ro-MD"/>
                    </w:rPr>
                    <w:t>rfuri</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mai</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puțin</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energia</w:t>
                  </w:r>
                  <w:proofErr w:type="spellEnd"/>
                  <w:r w:rsidRPr="00753AFD">
                    <w:rPr>
                      <w:color w:val="000000"/>
                      <w:sz w:val="18"/>
                      <w:szCs w:val="18"/>
                      <w:lang w:val="en-US" w:eastAsia="ro-MD"/>
                    </w:rPr>
                    <w:t xml:space="preserve"> </w:t>
                  </w:r>
                  <w:proofErr w:type="spellStart"/>
                  <w:r w:rsidRPr="00753AFD">
                    <w:rPr>
                      <w:color w:val="000000"/>
                      <w:sz w:val="18"/>
                      <w:szCs w:val="18"/>
                      <w:lang w:val="en-US" w:eastAsia="ro-MD"/>
                    </w:rPr>
                    <w:t>electric</w:t>
                  </w:r>
                  <w:r w:rsidRPr="00753AFD">
                    <w:rPr>
                      <w:rFonts w:hint="eastAsia"/>
                      <w:color w:val="000000"/>
                      <w:sz w:val="18"/>
                      <w:szCs w:val="18"/>
                      <w:lang w:val="en-US" w:eastAsia="ro-MD"/>
                    </w:rPr>
                    <w:t>ă</w:t>
                  </w:r>
                  <w:proofErr w:type="spellEnd"/>
                  <w:r w:rsidRPr="00753AFD">
                    <w:rPr>
                      <w:color w:val="000000"/>
                      <w:sz w:val="18"/>
                      <w:szCs w:val="18"/>
                      <w:lang w:val="en-US" w:eastAsia="ro-MD"/>
                    </w:rPr>
                    <w:t>)</w:t>
                  </w:r>
                </w:p>
              </w:tc>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8B8A41" w14:textId="77777777" w:rsidR="002D6B17" w:rsidRPr="00753AFD" w:rsidRDefault="002D6B17" w:rsidP="002D6B17">
                  <w:pPr>
                    <w:spacing w:before="60" w:after="60"/>
                    <w:jc w:val="both"/>
                    <w:rPr>
                      <w:color w:val="000000"/>
                      <w:sz w:val="18"/>
                      <w:szCs w:val="18"/>
                      <w:lang w:eastAsia="ro-MD"/>
                    </w:rPr>
                  </w:pPr>
                  <w:r w:rsidRPr="00753AFD">
                    <w:rPr>
                      <w:color w:val="000000"/>
                      <w:sz w:val="18"/>
                      <w:szCs w:val="18"/>
                      <w:lang w:eastAsia="ro-MD"/>
                    </w:rPr>
                    <w:t>70</w:t>
                  </w:r>
                  <w:r w:rsidRPr="00753AFD">
                    <w:rPr>
                      <w:rFonts w:hint="eastAsia"/>
                      <w:color w:val="000000"/>
                      <w:sz w:val="18"/>
                      <w:szCs w:val="18"/>
                      <w:lang w:eastAsia="ro-MD"/>
                    </w:rPr>
                    <w:t> </w:t>
                  </w:r>
                  <w:r w:rsidRPr="00753AFD">
                    <w:rPr>
                      <w:color w:val="000000"/>
                      <w:sz w:val="18"/>
                      <w:szCs w:val="18"/>
                      <w:lang w:eastAsia="ro-MD"/>
                    </w:rPr>
                    <w:t>%</w:t>
                  </w:r>
                </w:p>
              </w:tc>
            </w:tr>
          </w:tbl>
          <w:p w14:paraId="78AD9129" w14:textId="77777777" w:rsidR="002D6B17" w:rsidRPr="00753AFD" w:rsidRDefault="002D6B17" w:rsidP="002D6B17">
            <w:pPr>
              <w:rPr>
                <w:i/>
                <w:iCs/>
                <w:sz w:val="18"/>
                <w:szCs w:val="18"/>
              </w:rPr>
            </w:pPr>
          </w:p>
          <w:p w14:paraId="70514111" w14:textId="77777777" w:rsidR="002D6B17" w:rsidRPr="00753AFD" w:rsidRDefault="002D6B17" w:rsidP="002D6B17">
            <w:pPr>
              <w:pStyle w:val="PlainText"/>
              <w:rPr>
                <w:rFonts w:ascii="Times New Roman" w:hAnsi="Times New Roman" w:cs="Times New Roman"/>
                <w:b/>
                <w:bCs/>
                <w:sz w:val="18"/>
                <w:szCs w:val="18"/>
                <w:lang w:val="ro-MD"/>
              </w:rPr>
            </w:pPr>
          </w:p>
        </w:tc>
        <w:tc>
          <w:tcPr>
            <w:tcW w:w="1229" w:type="dxa"/>
          </w:tcPr>
          <w:p w14:paraId="783A2D1F" w14:textId="4DBC71A5" w:rsidR="002D6B17" w:rsidRPr="00383F39" w:rsidRDefault="002D6B17" w:rsidP="002D6B17">
            <w:pPr>
              <w:jc w:val="both"/>
              <w:rPr>
                <w:bCs/>
                <w:sz w:val="18"/>
                <w:szCs w:val="18"/>
                <w:lang w:val="ro-MD"/>
              </w:rPr>
            </w:pPr>
            <w:r w:rsidRPr="00383F39">
              <w:rPr>
                <w:bCs/>
                <w:sz w:val="18"/>
                <w:szCs w:val="18"/>
                <w:lang w:val="ro-MD"/>
              </w:rPr>
              <w:lastRenderedPageBreak/>
              <w:t>Compatibil</w:t>
            </w:r>
          </w:p>
        </w:tc>
        <w:tc>
          <w:tcPr>
            <w:tcW w:w="5292" w:type="dxa"/>
            <w:tcBorders>
              <w:bottom w:val="single" w:sz="4" w:space="0" w:color="auto"/>
            </w:tcBorders>
          </w:tcPr>
          <w:p w14:paraId="6AE1F984" w14:textId="77777777" w:rsidR="002D6B17" w:rsidRPr="005C26D0" w:rsidRDefault="002D6B17" w:rsidP="002D6B17">
            <w:pPr>
              <w:jc w:val="both"/>
              <w:rPr>
                <w:b/>
                <w:sz w:val="18"/>
                <w:szCs w:val="18"/>
                <w:lang w:val="ro-MD"/>
              </w:rPr>
            </w:pPr>
          </w:p>
        </w:tc>
      </w:tr>
      <w:tr w:rsidR="002D6B17" w:rsidRPr="00383F39" w14:paraId="5DCC0373" w14:textId="77777777" w:rsidTr="003F5B3C">
        <w:trPr>
          <w:tblHeader/>
        </w:trPr>
        <w:tc>
          <w:tcPr>
            <w:tcW w:w="4253" w:type="dxa"/>
          </w:tcPr>
          <w:p w14:paraId="1CF0D4EE" w14:textId="1DCB29FE" w:rsidR="002D6B17" w:rsidRPr="00E64792" w:rsidRDefault="002D6B17" w:rsidP="002D6B17">
            <w:pPr>
              <w:pStyle w:val="BodyTextIndent"/>
              <w:spacing w:before="0"/>
              <w:ind w:firstLine="0"/>
              <w:jc w:val="left"/>
              <w:rPr>
                <w:rFonts w:eastAsia="MS Mincho"/>
                <w:b/>
                <w:bCs/>
                <w:i/>
                <w:iCs/>
                <w:sz w:val="18"/>
                <w:szCs w:val="18"/>
                <w:lang w:val="ro-MD"/>
              </w:rPr>
            </w:pPr>
            <w:r w:rsidRPr="00E64792">
              <w:rPr>
                <w:rFonts w:eastAsia="MS Mincho"/>
                <w:i/>
                <w:iCs/>
                <w:sz w:val="18"/>
                <w:szCs w:val="18"/>
                <w:lang w:val="ro-MD"/>
              </w:rPr>
              <w:lastRenderedPageBreak/>
              <w:t>Articolul 6</w:t>
            </w:r>
            <w:r>
              <w:rPr>
                <w:rFonts w:eastAsia="MS Mincho"/>
                <w:b/>
                <w:bCs/>
                <w:i/>
                <w:iCs/>
                <w:sz w:val="18"/>
                <w:szCs w:val="18"/>
                <w:lang w:val="ro-MD"/>
              </w:rPr>
              <w:t xml:space="preserve"> </w:t>
            </w:r>
            <w:r w:rsidRPr="00E64792">
              <w:rPr>
                <w:rFonts w:eastAsia="MS Mincho"/>
                <w:b/>
                <w:bCs/>
                <w:sz w:val="18"/>
                <w:szCs w:val="18"/>
                <w:lang w:val="ro-MD"/>
              </w:rPr>
              <w:t>Metode pentru a stabili dacă o tranzacție este o poziție lungă sau scurtă pe determinantul de risc principal sau pe cel mai semnificativ</w:t>
            </w:r>
            <w:r>
              <w:rPr>
                <w:rFonts w:eastAsia="MS Mincho"/>
                <w:b/>
                <w:bCs/>
                <w:sz w:val="18"/>
                <w:szCs w:val="18"/>
                <w:lang w:val="ro-MD"/>
              </w:rPr>
              <w:t xml:space="preserve"> d</w:t>
            </w:r>
            <w:r w:rsidRPr="00E64792">
              <w:rPr>
                <w:rFonts w:eastAsia="MS Mincho"/>
                <w:b/>
                <w:bCs/>
                <w:sz w:val="18"/>
                <w:szCs w:val="18"/>
                <w:lang w:val="ro-MD"/>
              </w:rPr>
              <w:t>eterminant de risc într-o anumită categorie de risc</w:t>
            </w:r>
          </w:p>
          <w:p w14:paraId="5E256D40" w14:textId="77777777" w:rsidR="002D6B17" w:rsidRPr="00E64792" w:rsidRDefault="002D6B17" w:rsidP="002D6B17">
            <w:pPr>
              <w:pStyle w:val="BodyTextIndent"/>
              <w:spacing w:before="0"/>
              <w:ind w:firstLine="0"/>
              <w:jc w:val="left"/>
              <w:rPr>
                <w:rFonts w:eastAsia="MS Mincho"/>
                <w:sz w:val="18"/>
                <w:szCs w:val="18"/>
                <w:lang w:val="ro-MD"/>
              </w:rPr>
            </w:pPr>
            <w:r w:rsidRPr="00E64792">
              <w:rPr>
                <w:rFonts w:eastAsia="MS Mincho"/>
                <w:sz w:val="18"/>
                <w:szCs w:val="18"/>
                <w:lang w:val="ro-MD"/>
              </w:rPr>
              <w:t>Instituțiile determină dacă o tranzacție este o poziție lungă sau scurtă pe determinantul de risc principal sau pe cel mai semnificativ determinant de risc într-o anumită categorie de risc prin aplicarea uneia dintre următoarele metode:</w:t>
            </w:r>
          </w:p>
          <w:p w14:paraId="281517CE" w14:textId="1616BAF6" w:rsidR="002D6B17" w:rsidRPr="00E64792" w:rsidRDefault="002D6B17" w:rsidP="002D6B17">
            <w:pPr>
              <w:pStyle w:val="BodyTextIndent"/>
              <w:spacing w:before="0"/>
              <w:ind w:firstLine="0"/>
              <w:jc w:val="left"/>
              <w:rPr>
                <w:rFonts w:eastAsia="MS Mincho"/>
                <w:sz w:val="18"/>
                <w:szCs w:val="18"/>
                <w:lang w:val="ro-MD"/>
              </w:rPr>
            </w:pPr>
            <w:r w:rsidRPr="00E64792">
              <w:rPr>
                <w:rFonts w:eastAsia="MS Mincho"/>
                <w:sz w:val="18"/>
                <w:szCs w:val="18"/>
                <w:lang w:val="ro-MD"/>
              </w:rPr>
              <w:t>(a) calculează sensibilitățile la riscul delta al respectivilor determinanți de risc în conformitate cu articolul 325r din Regulamentul (UE) nr. 575/2013 și identifică tranzacția ca fiind o poziție lungă pe un determinant de risc în cazul în care sensibilitatea la riscul delta corespunzătoare este pozitivă, respectiv ca fiind o poziție scurtă în cazul în care sensibilitatea la riscul delta corespunzătoare este negativă;</w:t>
            </w:r>
          </w:p>
          <w:p w14:paraId="261FDC5B" w14:textId="010F2000" w:rsidR="002D6B17" w:rsidRPr="00E64792" w:rsidRDefault="002D6B17" w:rsidP="002D6B17">
            <w:pPr>
              <w:pStyle w:val="BodyTextIndent"/>
              <w:spacing w:before="0"/>
              <w:ind w:firstLine="0"/>
              <w:jc w:val="left"/>
              <w:rPr>
                <w:rFonts w:eastAsia="MS Mincho"/>
                <w:sz w:val="18"/>
                <w:szCs w:val="18"/>
                <w:lang w:val="ro-MD"/>
              </w:rPr>
            </w:pPr>
            <w:r w:rsidRPr="00E64792">
              <w:rPr>
                <w:rFonts w:eastAsia="MS Mincho"/>
                <w:sz w:val="18"/>
                <w:szCs w:val="18"/>
                <w:lang w:val="ro-MD"/>
              </w:rPr>
              <w:t>(b) evaluează dependența structurii fluxurilor de trezorerie ale tranzacțiilor de determinantul de risc respectiv sau scopul de acoperire al tranzacției în ceea ce privește determinantul de risc respectiv și, pe baza acestei evaluări, identifică tranzacția ca fiind o poziție lungă, respectiv o poziție scurtă.</w:t>
            </w:r>
          </w:p>
          <w:p w14:paraId="34DD4ECB" w14:textId="77777777" w:rsidR="002D6B17" w:rsidRPr="005C26D0" w:rsidRDefault="002D6B17" w:rsidP="002D6B17">
            <w:pPr>
              <w:pStyle w:val="BodyTextIndent"/>
              <w:spacing w:before="0"/>
              <w:ind w:firstLine="0"/>
              <w:jc w:val="left"/>
              <w:rPr>
                <w:rFonts w:eastAsia="MS Mincho"/>
                <w:b/>
                <w:bCs/>
                <w:sz w:val="18"/>
                <w:szCs w:val="18"/>
                <w:lang w:val="ro-MD"/>
              </w:rPr>
            </w:pPr>
          </w:p>
        </w:tc>
        <w:tc>
          <w:tcPr>
            <w:tcW w:w="3685" w:type="dxa"/>
          </w:tcPr>
          <w:p w14:paraId="718441EA" w14:textId="77777777" w:rsidR="002D6B17" w:rsidRPr="00383F39" w:rsidRDefault="002D6B17" w:rsidP="002D6B17">
            <w:pPr>
              <w:spacing w:after="200"/>
              <w:jc w:val="center"/>
              <w:rPr>
                <w:rFonts w:eastAsia="Calibri"/>
                <w:i/>
                <w:iCs/>
                <w:sz w:val="18"/>
                <w:szCs w:val="18"/>
                <w:lang w:val="en-US" w:eastAsia="en-US"/>
              </w:rPr>
            </w:pPr>
            <w:proofErr w:type="spellStart"/>
            <w:r w:rsidRPr="00383F39">
              <w:rPr>
                <w:rFonts w:eastAsia="Calibri"/>
                <w:i/>
                <w:iCs/>
                <w:sz w:val="18"/>
                <w:szCs w:val="18"/>
                <w:lang w:val="en-US" w:eastAsia="en-US"/>
              </w:rPr>
              <w:t>Secțiunea</w:t>
            </w:r>
            <w:proofErr w:type="spellEnd"/>
            <w:r w:rsidRPr="00383F39">
              <w:rPr>
                <w:rFonts w:eastAsia="Calibri"/>
                <w:i/>
                <w:iCs/>
                <w:sz w:val="18"/>
                <w:szCs w:val="18"/>
                <w:lang w:val="en-US" w:eastAsia="en-US"/>
              </w:rPr>
              <w:t xml:space="preserve"> a 2-a</w:t>
            </w:r>
          </w:p>
          <w:p w14:paraId="79E1A956" w14:textId="77777777" w:rsidR="002D6B17" w:rsidRPr="00383F39" w:rsidRDefault="002D6B17" w:rsidP="002D6B17">
            <w:pPr>
              <w:spacing w:after="200"/>
              <w:jc w:val="center"/>
              <w:rPr>
                <w:rFonts w:eastAsia="Calibri"/>
                <w:b/>
                <w:bCs/>
                <w:sz w:val="18"/>
                <w:szCs w:val="18"/>
                <w:lang w:val="en-US" w:eastAsia="en-US"/>
              </w:rPr>
            </w:pPr>
            <w:r w:rsidRPr="00383F39">
              <w:rPr>
                <w:rFonts w:eastAsia="Calibri"/>
                <w:b/>
                <w:bCs/>
                <w:sz w:val="18"/>
                <w:szCs w:val="18"/>
                <w:lang w:val="en-US" w:eastAsia="en-US"/>
              </w:rPr>
              <w:t xml:space="preserve">Metode </w:t>
            </w:r>
            <w:proofErr w:type="spellStart"/>
            <w:r w:rsidRPr="00383F39">
              <w:rPr>
                <w:rFonts w:eastAsia="Calibri"/>
                <w:b/>
                <w:bCs/>
                <w:sz w:val="18"/>
                <w:szCs w:val="18"/>
                <w:lang w:val="en-US" w:eastAsia="en-US"/>
              </w:rPr>
              <w:t>pentru</w:t>
            </w:r>
            <w:proofErr w:type="spellEnd"/>
            <w:r w:rsidRPr="00383F39">
              <w:rPr>
                <w:rFonts w:eastAsia="Calibri"/>
                <w:b/>
                <w:bCs/>
                <w:sz w:val="18"/>
                <w:szCs w:val="18"/>
                <w:lang w:val="en-US" w:eastAsia="en-US"/>
              </w:rPr>
              <w:t xml:space="preserve"> a </w:t>
            </w:r>
            <w:proofErr w:type="spellStart"/>
            <w:r w:rsidRPr="00383F39">
              <w:rPr>
                <w:rFonts w:eastAsia="Calibri"/>
                <w:b/>
                <w:bCs/>
                <w:sz w:val="18"/>
                <w:szCs w:val="18"/>
                <w:lang w:val="en-US" w:eastAsia="en-US"/>
              </w:rPr>
              <w:t>stabili</w:t>
            </w:r>
            <w:proofErr w:type="spellEnd"/>
            <w:r w:rsidRPr="00383F39">
              <w:rPr>
                <w:rFonts w:eastAsia="Calibri"/>
                <w:b/>
                <w:bCs/>
                <w:sz w:val="18"/>
                <w:szCs w:val="18"/>
                <w:lang w:val="en-US" w:eastAsia="en-US"/>
              </w:rPr>
              <w:t xml:space="preserve"> </w:t>
            </w:r>
            <w:proofErr w:type="spellStart"/>
            <w:r w:rsidRPr="00383F39">
              <w:rPr>
                <w:rFonts w:eastAsia="Calibri"/>
                <w:b/>
                <w:bCs/>
                <w:sz w:val="18"/>
                <w:szCs w:val="18"/>
                <w:lang w:val="en-US" w:eastAsia="en-US"/>
              </w:rPr>
              <w:t>dacă</w:t>
            </w:r>
            <w:proofErr w:type="spellEnd"/>
            <w:r w:rsidRPr="00383F39">
              <w:rPr>
                <w:rFonts w:eastAsia="Calibri"/>
                <w:b/>
                <w:bCs/>
                <w:sz w:val="18"/>
                <w:szCs w:val="18"/>
                <w:lang w:val="en-US" w:eastAsia="en-US"/>
              </w:rPr>
              <w:t xml:space="preserve"> o </w:t>
            </w:r>
            <w:proofErr w:type="spellStart"/>
            <w:r w:rsidRPr="00383F39">
              <w:rPr>
                <w:rFonts w:eastAsia="Calibri"/>
                <w:b/>
                <w:bCs/>
                <w:sz w:val="18"/>
                <w:szCs w:val="18"/>
                <w:lang w:val="en-US" w:eastAsia="en-US"/>
              </w:rPr>
              <w:t>tranzacție</w:t>
            </w:r>
            <w:proofErr w:type="spellEnd"/>
            <w:r w:rsidRPr="00383F39">
              <w:rPr>
                <w:rFonts w:eastAsia="Calibri"/>
                <w:b/>
                <w:bCs/>
                <w:sz w:val="18"/>
                <w:szCs w:val="18"/>
                <w:lang w:val="en-US" w:eastAsia="en-US"/>
              </w:rPr>
              <w:t xml:space="preserve"> </w:t>
            </w:r>
            <w:proofErr w:type="spellStart"/>
            <w:r w:rsidRPr="00383F39">
              <w:rPr>
                <w:rFonts w:eastAsia="Calibri"/>
                <w:b/>
                <w:bCs/>
                <w:sz w:val="18"/>
                <w:szCs w:val="18"/>
                <w:lang w:val="en-US" w:eastAsia="en-US"/>
              </w:rPr>
              <w:t>este</w:t>
            </w:r>
            <w:proofErr w:type="spellEnd"/>
            <w:r w:rsidRPr="00383F39">
              <w:rPr>
                <w:rFonts w:eastAsia="Calibri"/>
                <w:b/>
                <w:bCs/>
                <w:sz w:val="18"/>
                <w:szCs w:val="18"/>
                <w:lang w:val="en-US" w:eastAsia="en-US"/>
              </w:rPr>
              <w:t xml:space="preserve"> o </w:t>
            </w:r>
            <w:proofErr w:type="spellStart"/>
            <w:r w:rsidRPr="00383F39">
              <w:rPr>
                <w:rFonts w:eastAsia="Calibri"/>
                <w:b/>
                <w:bCs/>
                <w:sz w:val="18"/>
                <w:szCs w:val="18"/>
                <w:lang w:val="en-US" w:eastAsia="en-US"/>
              </w:rPr>
              <w:t>poziție</w:t>
            </w:r>
            <w:proofErr w:type="spellEnd"/>
            <w:r w:rsidRPr="00383F39">
              <w:rPr>
                <w:rFonts w:eastAsia="Calibri"/>
                <w:b/>
                <w:bCs/>
                <w:sz w:val="18"/>
                <w:szCs w:val="18"/>
                <w:lang w:val="en-US" w:eastAsia="en-US"/>
              </w:rPr>
              <w:t xml:space="preserve"> </w:t>
            </w:r>
            <w:proofErr w:type="spellStart"/>
            <w:r w:rsidRPr="00383F39">
              <w:rPr>
                <w:rFonts w:eastAsia="Calibri"/>
                <w:b/>
                <w:bCs/>
                <w:sz w:val="18"/>
                <w:szCs w:val="18"/>
                <w:lang w:val="en-US" w:eastAsia="en-US"/>
              </w:rPr>
              <w:t>lungă</w:t>
            </w:r>
            <w:proofErr w:type="spellEnd"/>
            <w:r w:rsidRPr="00383F39">
              <w:rPr>
                <w:rFonts w:eastAsia="Calibri"/>
                <w:b/>
                <w:bCs/>
                <w:sz w:val="18"/>
                <w:szCs w:val="18"/>
                <w:lang w:val="en-US" w:eastAsia="en-US"/>
              </w:rPr>
              <w:t xml:space="preserve"> </w:t>
            </w:r>
            <w:proofErr w:type="spellStart"/>
            <w:r w:rsidRPr="00383F39">
              <w:rPr>
                <w:rFonts w:eastAsia="Calibri"/>
                <w:b/>
                <w:bCs/>
                <w:sz w:val="18"/>
                <w:szCs w:val="18"/>
                <w:lang w:val="en-US" w:eastAsia="en-US"/>
              </w:rPr>
              <w:t>sau</w:t>
            </w:r>
            <w:proofErr w:type="spellEnd"/>
            <w:r w:rsidRPr="00383F39">
              <w:rPr>
                <w:rFonts w:eastAsia="Calibri"/>
                <w:b/>
                <w:bCs/>
                <w:sz w:val="18"/>
                <w:szCs w:val="18"/>
                <w:lang w:val="en-US" w:eastAsia="en-US"/>
              </w:rPr>
              <w:t xml:space="preserve"> </w:t>
            </w:r>
            <w:proofErr w:type="spellStart"/>
            <w:r w:rsidRPr="00383F39">
              <w:rPr>
                <w:rFonts w:eastAsia="Calibri"/>
                <w:b/>
                <w:bCs/>
                <w:sz w:val="18"/>
                <w:szCs w:val="18"/>
                <w:lang w:val="en-US" w:eastAsia="en-US"/>
              </w:rPr>
              <w:t>scurtă</w:t>
            </w:r>
            <w:proofErr w:type="spellEnd"/>
            <w:r w:rsidRPr="00383F39">
              <w:rPr>
                <w:rFonts w:eastAsia="Calibri"/>
                <w:b/>
                <w:bCs/>
                <w:sz w:val="18"/>
                <w:szCs w:val="18"/>
                <w:lang w:val="en-US" w:eastAsia="en-US"/>
              </w:rPr>
              <w:t xml:space="preserve"> pe </w:t>
            </w:r>
            <w:proofErr w:type="spellStart"/>
            <w:r w:rsidRPr="00383F39">
              <w:rPr>
                <w:rFonts w:eastAsia="Calibri"/>
                <w:b/>
                <w:bCs/>
                <w:sz w:val="18"/>
                <w:szCs w:val="18"/>
                <w:lang w:val="en-US" w:eastAsia="en-US"/>
              </w:rPr>
              <w:t>determinantul</w:t>
            </w:r>
            <w:proofErr w:type="spellEnd"/>
            <w:r w:rsidRPr="00383F39">
              <w:rPr>
                <w:rFonts w:eastAsia="Calibri"/>
                <w:b/>
                <w:bCs/>
                <w:sz w:val="18"/>
                <w:szCs w:val="18"/>
                <w:lang w:val="en-US" w:eastAsia="en-US"/>
              </w:rPr>
              <w:t xml:space="preserve"> de </w:t>
            </w:r>
            <w:proofErr w:type="spellStart"/>
            <w:r w:rsidRPr="00383F39">
              <w:rPr>
                <w:rFonts w:eastAsia="Calibri"/>
                <w:b/>
                <w:bCs/>
                <w:sz w:val="18"/>
                <w:szCs w:val="18"/>
                <w:lang w:val="en-US" w:eastAsia="en-US"/>
              </w:rPr>
              <w:t>risc</w:t>
            </w:r>
            <w:proofErr w:type="spellEnd"/>
            <w:r w:rsidRPr="00383F39">
              <w:rPr>
                <w:rFonts w:eastAsia="Calibri"/>
                <w:b/>
                <w:bCs/>
                <w:sz w:val="18"/>
                <w:szCs w:val="18"/>
                <w:lang w:val="en-US" w:eastAsia="en-US"/>
              </w:rPr>
              <w:t xml:space="preserve"> principal </w:t>
            </w:r>
            <w:proofErr w:type="spellStart"/>
            <w:r w:rsidRPr="00383F39">
              <w:rPr>
                <w:rFonts w:eastAsia="Calibri"/>
                <w:b/>
                <w:bCs/>
                <w:sz w:val="18"/>
                <w:szCs w:val="18"/>
                <w:lang w:val="en-US" w:eastAsia="en-US"/>
              </w:rPr>
              <w:t>sau</w:t>
            </w:r>
            <w:proofErr w:type="spellEnd"/>
            <w:r w:rsidRPr="00383F39">
              <w:rPr>
                <w:rFonts w:eastAsia="Calibri"/>
                <w:b/>
                <w:bCs/>
                <w:sz w:val="18"/>
                <w:szCs w:val="18"/>
                <w:lang w:val="en-US" w:eastAsia="en-US"/>
              </w:rPr>
              <w:t xml:space="preserve"> pe cel </w:t>
            </w:r>
            <w:proofErr w:type="spellStart"/>
            <w:r w:rsidRPr="00383F39">
              <w:rPr>
                <w:rFonts w:eastAsia="Calibri"/>
                <w:b/>
                <w:bCs/>
                <w:sz w:val="18"/>
                <w:szCs w:val="18"/>
                <w:lang w:val="en-US" w:eastAsia="en-US"/>
              </w:rPr>
              <w:t>mai</w:t>
            </w:r>
            <w:proofErr w:type="spellEnd"/>
            <w:r w:rsidRPr="00383F39">
              <w:rPr>
                <w:rFonts w:eastAsia="Calibri"/>
                <w:b/>
                <w:bCs/>
                <w:sz w:val="18"/>
                <w:szCs w:val="18"/>
                <w:lang w:val="en-US" w:eastAsia="en-US"/>
              </w:rPr>
              <w:t xml:space="preserve"> </w:t>
            </w:r>
            <w:proofErr w:type="spellStart"/>
            <w:r w:rsidRPr="00383F39">
              <w:rPr>
                <w:rFonts w:eastAsia="Calibri"/>
                <w:b/>
                <w:bCs/>
                <w:sz w:val="18"/>
                <w:szCs w:val="18"/>
                <w:lang w:val="en-US" w:eastAsia="en-US"/>
              </w:rPr>
              <w:t>semnificativ</w:t>
            </w:r>
            <w:proofErr w:type="spellEnd"/>
            <w:r w:rsidRPr="00383F39">
              <w:rPr>
                <w:rFonts w:eastAsia="Calibri"/>
                <w:b/>
                <w:bCs/>
                <w:sz w:val="18"/>
                <w:szCs w:val="18"/>
                <w:lang w:val="en-US" w:eastAsia="en-US"/>
              </w:rPr>
              <w:t xml:space="preserve"> determinant de </w:t>
            </w:r>
            <w:proofErr w:type="spellStart"/>
            <w:r w:rsidRPr="00383F39">
              <w:rPr>
                <w:rFonts w:eastAsia="Calibri"/>
                <w:b/>
                <w:bCs/>
                <w:sz w:val="18"/>
                <w:szCs w:val="18"/>
                <w:lang w:val="en-US" w:eastAsia="en-US"/>
              </w:rPr>
              <w:t>risc</w:t>
            </w:r>
            <w:proofErr w:type="spellEnd"/>
            <w:r w:rsidRPr="00383F39">
              <w:rPr>
                <w:rFonts w:eastAsia="Calibri"/>
                <w:b/>
                <w:bCs/>
                <w:sz w:val="18"/>
                <w:szCs w:val="18"/>
                <w:lang w:val="en-US" w:eastAsia="en-US"/>
              </w:rPr>
              <w:t xml:space="preserve"> </w:t>
            </w:r>
            <w:proofErr w:type="spellStart"/>
            <w:r w:rsidRPr="00383F39">
              <w:rPr>
                <w:rFonts w:eastAsia="Calibri"/>
                <w:b/>
                <w:bCs/>
                <w:sz w:val="18"/>
                <w:szCs w:val="18"/>
                <w:lang w:val="en-US" w:eastAsia="en-US"/>
              </w:rPr>
              <w:t>într</w:t>
            </w:r>
            <w:proofErr w:type="spellEnd"/>
            <w:r w:rsidRPr="00383F39">
              <w:rPr>
                <w:rFonts w:eastAsia="Calibri"/>
                <w:b/>
                <w:bCs/>
                <w:sz w:val="18"/>
                <w:szCs w:val="18"/>
                <w:lang w:val="en-US" w:eastAsia="en-US"/>
              </w:rPr>
              <w:t xml:space="preserve">-o </w:t>
            </w:r>
            <w:proofErr w:type="spellStart"/>
            <w:r w:rsidRPr="00383F39">
              <w:rPr>
                <w:rFonts w:eastAsia="Calibri"/>
                <w:b/>
                <w:bCs/>
                <w:sz w:val="18"/>
                <w:szCs w:val="18"/>
                <w:lang w:val="en-US" w:eastAsia="en-US"/>
              </w:rPr>
              <w:t>anumită</w:t>
            </w:r>
            <w:proofErr w:type="spellEnd"/>
            <w:r w:rsidRPr="00383F39">
              <w:rPr>
                <w:rFonts w:eastAsia="Calibri"/>
                <w:b/>
                <w:bCs/>
                <w:sz w:val="18"/>
                <w:szCs w:val="18"/>
                <w:lang w:val="en-US" w:eastAsia="en-US"/>
              </w:rPr>
              <w:t xml:space="preserve"> </w:t>
            </w:r>
            <w:proofErr w:type="spellStart"/>
            <w:r w:rsidRPr="00383F39">
              <w:rPr>
                <w:rFonts w:eastAsia="Calibri"/>
                <w:b/>
                <w:bCs/>
                <w:sz w:val="18"/>
                <w:szCs w:val="18"/>
                <w:lang w:val="en-US" w:eastAsia="en-US"/>
              </w:rPr>
              <w:t>categorie</w:t>
            </w:r>
            <w:proofErr w:type="spellEnd"/>
            <w:r w:rsidRPr="00383F39">
              <w:rPr>
                <w:rFonts w:eastAsia="Calibri"/>
                <w:b/>
                <w:bCs/>
                <w:sz w:val="18"/>
                <w:szCs w:val="18"/>
                <w:lang w:val="en-US" w:eastAsia="en-US"/>
              </w:rPr>
              <w:t xml:space="preserve"> de </w:t>
            </w:r>
            <w:proofErr w:type="spellStart"/>
            <w:r w:rsidRPr="00383F39">
              <w:rPr>
                <w:rFonts w:eastAsia="Calibri"/>
                <w:b/>
                <w:bCs/>
                <w:sz w:val="18"/>
                <w:szCs w:val="18"/>
                <w:lang w:val="en-US" w:eastAsia="en-US"/>
              </w:rPr>
              <w:t>risc</w:t>
            </w:r>
            <w:proofErr w:type="spellEnd"/>
          </w:p>
          <w:p w14:paraId="612A47D8" w14:textId="77777777" w:rsidR="002D6B17" w:rsidRPr="00383F39" w:rsidRDefault="002D6B17" w:rsidP="002D6B17">
            <w:pPr>
              <w:rPr>
                <w:rFonts w:eastAsia="Calibri"/>
                <w:sz w:val="18"/>
                <w:szCs w:val="18"/>
                <w:lang w:val="en-US" w:eastAsia="en-US"/>
              </w:rPr>
            </w:pPr>
            <w:r w:rsidRPr="00383F39">
              <w:rPr>
                <w:rFonts w:eastAsia="Calibri"/>
                <w:b/>
                <w:bCs/>
                <w:sz w:val="18"/>
                <w:szCs w:val="18"/>
                <w:lang w:val="en-US" w:eastAsia="en-US"/>
              </w:rPr>
              <w:t>13.</w:t>
            </w:r>
            <w:r w:rsidRPr="00383F39">
              <w:rPr>
                <w:rFonts w:eastAsia="Calibri"/>
                <w:sz w:val="18"/>
                <w:szCs w:val="18"/>
                <w:lang w:val="en-US" w:eastAsia="en-US"/>
              </w:rPr>
              <w:t xml:space="preserve"> </w:t>
            </w:r>
            <w:proofErr w:type="spellStart"/>
            <w:r w:rsidRPr="00383F39">
              <w:rPr>
                <w:rFonts w:eastAsia="Calibri"/>
                <w:sz w:val="18"/>
                <w:szCs w:val="18"/>
                <w:lang w:val="en-US" w:eastAsia="en-US"/>
              </w:rPr>
              <w:t>Băncile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determină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dacă</w:t>
            </w:r>
            <w:proofErr w:type="spellEnd"/>
            <w:r w:rsidRPr="00383F39">
              <w:rPr>
                <w:rFonts w:eastAsia="Calibri"/>
                <w:sz w:val="18"/>
                <w:szCs w:val="18"/>
                <w:lang w:val="en-US" w:eastAsia="en-US"/>
              </w:rPr>
              <w:t xml:space="preserve"> o </w:t>
            </w:r>
            <w:proofErr w:type="spellStart"/>
            <w:r w:rsidRPr="00383F39">
              <w:rPr>
                <w:rFonts w:eastAsia="Calibri"/>
                <w:sz w:val="18"/>
                <w:szCs w:val="18"/>
                <w:lang w:val="en-US" w:eastAsia="en-US"/>
              </w:rPr>
              <w:t>tranzacție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este</w:t>
            </w:r>
            <w:proofErr w:type="spellEnd"/>
            <w:r w:rsidRPr="00383F39">
              <w:rPr>
                <w:rFonts w:eastAsia="Calibri"/>
                <w:sz w:val="18"/>
                <w:szCs w:val="18"/>
                <w:lang w:val="en-US" w:eastAsia="en-US"/>
              </w:rPr>
              <w:t xml:space="preserve"> o </w:t>
            </w:r>
            <w:proofErr w:type="spellStart"/>
            <w:r w:rsidRPr="00383F39">
              <w:rPr>
                <w:rFonts w:eastAsia="Calibri"/>
                <w:sz w:val="18"/>
                <w:szCs w:val="18"/>
                <w:lang w:val="en-US" w:eastAsia="en-US"/>
              </w:rPr>
              <w:t>poziție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lungă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sau</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scurtă</w:t>
            </w:r>
            <w:proofErr w:type="spellEnd"/>
            <w:r w:rsidRPr="00383F39">
              <w:rPr>
                <w:rFonts w:eastAsia="Calibri"/>
                <w:sz w:val="18"/>
                <w:szCs w:val="18"/>
                <w:lang w:val="en-US" w:eastAsia="en-US"/>
              </w:rPr>
              <w:t xml:space="preserve"> pe </w:t>
            </w:r>
            <w:proofErr w:type="spellStart"/>
            <w:r w:rsidRPr="00383F39">
              <w:rPr>
                <w:rFonts w:eastAsia="Calibri"/>
                <w:sz w:val="18"/>
                <w:szCs w:val="18"/>
                <w:lang w:val="en-US" w:eastAsia="en-US"/>
              </w:rPr>
              <w:t>determinantul</w:t>
            </w:r>
            <w:proofErr w:type="spellEnd"/>
            <w:r w:rsidRPr="00383F39">
              <w:rPr>
                <w:rFonts w:eastAsia="Calibri"/>
                <w:sz w:val="18"/>
                <w:szCs w:val="18"/>
                <w:lang w:val="en-US" w:eastAsia="en-US"/>
              </w:rPr>
              <w:t xml:space="preserve"> de </w:t>
            </w:r>
            <w:proofErr w:type="spellStart"/>
            <w:r w:rsidRPr="00383F39">
              <w:rPr>
                <w:rFonts w:eastAsia="Calibri"/>
                <w:sz w:val="18"/>
                <w:szCs w:val="18"/>
                <w:lang w:val="en-US" w:eastAsia="en-US"/>
              </w:rPr>
              <w:t>risc</w:t>
            </w:r>
            <w:proofErr w:type="spellEnd"/>
            <w:r w:rsidRPr="00383F39">
              <w:rPr>
                <w:rFonts w:eastAsia="Calibri"/>
                <w:sz w:val="18"/>
                <w:szCs w:val="18"/>
                <w:lang w:val="en-US" w:eastAsia="en-US"/>
              </w:rPr>
              <w:t xml:space="preserve"> principal </w:t>
            </w:r>
            <w:proofErr w:type="spellStart"/>
            <w:r w:rsidRPr="00383F39">
              <w:rPr>
                <w:rFonts w:eastAsia="Calibri"/>
                <w:sz w:val="18"/>
                <w:szCs w:val="18"/>
                <w:lang w:val="en-US" w:eastAsia="en-US"/>
              </w:rPr>
              <w:t>sau</w:t>
            </w:r>
            <w:proofErr w:type="spellEnd"/>
            <w:r w:rsidRPr="00383F39">
              <w:rPr>
                <w:rFonts w:eastAsia="Calibri"/>
                <w:sz w:val="18"/>
                <w:szCs w:val="18"/>
                <w:lang w:val="en-US" w:eastAsia="en-US"/>
              </w:rPr>
              <w:t xml:space="preserve"> pe cel </w:t>
            </w:r>
            <w:proofErr w:type="spellStart"/>
            <w:r w:rsidRPr="00383F39">
              <w:rPr>
                <w:rFonts w:eastAsia="Calibri"/>
                <w:sz w:val="18"/>
                <w:szCs w:val="18"/>
                <w:lang w:val="en-US" w:eastAsia="en-US"/>
              </w:rPr>
              <w:t>mai</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semnificativ</w:t>
            </w:r>
            <w:proofErr w:type="spellEnd"/>
            <w:r w:rsidRPr="00383F39">
              <w:rPr>
                <w:rFonts w:eastAsia="Calibri"/>
                <w:sz w:val="18"/>
                <w:szCs w:val="18"/>
                <w:lang w:val="en-US" w:eastAsia="en-US"/>
              </w:rPr>
              <w:t xml:space="preserve"> determinant de </w:t>
            </w:r>
            <w:proofErr w:type="spellStart"/>
            <w:r w:rsidRPr="00383F39">
              <w:rPr>
                <w:rFonts w:eastAsia="Calibri"/>
                <w:sz w:val="18"/>
                <w:szCs w:val="18"/>
                <w:lang w:val="en-US" w:eastAsia="en-US"/>
              </w:rPr>
              <w:t>risc</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într</w:t>
            </w:r>
            <w:proofErr w:type="spellEnd"/>
            <w:r w:rsidRPr="00383F39">
              <w:rPr>
                <w:rFonts w:eastAsia="Calibri"/>
                <w:sz w:val="18"/>
                <w:szCs w:val="18"/>
                <w:lang w:val="en-US" w:eastAsia="en-US"/>
              </w:rPr>
              <w:t xml:space="preserve">-o </w:t>
            </w:r>
            <w:proofErr w:type="spellStart"/>
            <w:r w:rsidRPr="00383F39">
              <w:rPr>
                <w:rFonts w:eastAsia="Calibri"/>
                <w:sz w:val="18"/>
                <w:szCs w:val="18"/>
                <w:lang w:val="en-US" w:eastAsia="en-US"/>
              </w:rPr>
              <w:t>anumită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categorie</w:t>
            </w:r>
            <w:proofErr w:type="spellEnd"/>
            <w:r w:rsidRPr="00383F39">
              <w:rPr>
                <w:rFonts w:eastAsia="Calibri"/>
                <w:sz w:val="18"/>
                <w:szCs w:val="18"/>
                <w:lang w:val="en-US" w:eastAsia="en-US"/>
              </w:rPr>
              <w:t xml:space="preserve"> de </w:t>
            </w:r>
            <w:proofErr w:type="spellStart"/>
            <w:r w:rsidRPr="00383F39">
              <w:rPr>
                <w:rFonts w:eastAsia="Calibri"/>
                <w:sz w:val="18"/>
                <w:szCs w:val="18"/>
                <w:lang w:val="en-US" w:eastAsia="en-US"/>
              </w:rPr>
              <w:t>risc</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prin</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aplicarea</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uneia</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dintre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următoarele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metode</w:t>
            </w:r>
            <w:proofErr w:type="spellEnd"/>
            <w:r w:rsidRPr="00383F39">
              <w:rPr>
                <w:rFonts w:eastAsia="Calibri"/>
                <w:sz w:val="18"/>
                <w:szCs w:val="18"/>
                <w:lang w:val="en-US" w:eastAsia="en-US"/>
              </w:rPr>
              <w:t>:</w:t>
            </w:r>
          </w:p>
          <w:p w14:paraId="2E131032" w14:textId="77777777" w:rsidR="002D6B17" w:rsidRPr="00383F39" w:rsidRDefault="002D6B17" w:rsidP="002D6B17">
            <w:pPr>
              <w:jc w:val="both"/>
              <w:rPr>
                <w:rFonts w:eastAsia="Calibri"/>
                <w:sz w:val="18"/>
                <w:szCs w:val="18"/>
                <w:lang w:val="en-US" w:eastAsia="en-US"/>
              </w:rPr>
            </w:pPr>
            <w:r w:rsidRPr="00383F39">
              <w:rPr>
                <w:rFonts w:eastAsia="Calibri"/>
                <w:sz w:val="18"/>
                <w:szCs w:val="18"/>
                <w:lang w:val="en-US" w:eastAsia="en-US"/>
              </w:rPr>
              <w:t xml:space="preserve">13.1. </w:t>
            </w:r>
            <w:proofErr w:type="spellStart"/>
            <w:r w:rsidRPr="00383F39">
              <w:rPr>
                <w:rFonts w:eastAsia="Calibri"/>
                <w:sz w:val="18"/>
                <w:szCs w:val="18"/>
                <w:lang w:val="en-US" w:eastAsia="en-US"/>
              </w:rPr>
              <w:t>calculează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sensibilitățile</w:t>
            </w:r>
            <w:proofErr w:type="spellEnd"/>
            <w:r w:rsidRPr="00383F39">
              <w:rPr>
                <w:rFonts w:eastAsia="Calibri"/>
                <w:sz w:val="18"/>
                <w:szCs w:val="18"/>
                <w:lang w:val="en-US" w:eastAsia="en-US"/>
              </w:rPr>
              <w:t xml:space="preserve"> la </w:t>
            </w:r>
            <w:proofErr w:type="spellStart"/>
            <w:r w:rsidRPr="00383F39">
              <w:rPr>
                <w:rFonts w:eastAsia="Calibri"/>
                <w:sz w:val="18"/>
                <w:szCs w:val="18"/>
                <w:lang w:val="en-US" w:eastAsia="en-US"/>
              </w:rPr>
              <w:t>riscul</w:t>
            </w:r>
            <w:proofErr w:type="spellEnd"/>
            <w:r w:rsidRPr="00383F39">
              <w:rPr>
                <w:rFonts w:eastAsia="Calibri"/>
                <w:sz w:val="18"/>
                <w:szCs w:val="18"/>
                <w:lang w:val="en-US" w:eastAsia="en-US"/>
              </w:rPr>
              <w:t xml:space="preserve"> delta al </w:t>
            </w:r>
            <w:proofErr w:type="spellStart"/>
            <w:r w:rsidRPr="00383F39">
              <w:rPr>
                <w:rFonts w:eastAsia="Calibri"/>
                <w:sz w:val="18"/>
                <w:szCs w:val="18"/>
                <w:lang w:val="en-US" w:eastAsia="en-US"/>
              </w:rPr>
              <w:t>respectivilor</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determinanți</w:t>
            </w:r>
            <w:proofErr w:type="spellEnd"/>
            <w:r w:rsidRPr="00383F39">
              <w:rPr>
                <w:rFonts w:eastAsia="Calibri"/>
                <w:sz w:val="18"/>
                <w:szCs w:val="18"/>
                <w:lang w:val="en-US" w:eastAsia="en-US"/>
              </w:rPr>
              <w:t xml:space="preserve"> de </w:t>
            </w:r>
            <w:proofErr w:type="spellStart"/>
            <w:r w:rsidRPr="00383F39">
              <w:rPr>
                <w:rFonts w:eastAsia="Calibri"/>
                <w:sz w:val="18"/>
                <w:szCs w:val="18"/>
                <w:lang w:val="en-US" w:eastAsia="en-US"/>
              </w:rPr>
              <w:t>risc</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în</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conformitate</w:t>
            </w:r>
            <w:proofErr w:type="spellEnd"/>
            <w:r w:rsidRPr="00383F39">
              <w:rPr>
                <w:rFonts w:eastAsia="Calibri"/>
                <w:sz w:val="18"/>
                <w:szCs w:val="18"/>
                <w:lang w:val="en-US" w:eastAsia="en-US"/>
              </w:rPr>
              <w:t xml:space="preserve"> cu </w:t>
            </w:r>
            <w:proofErr w:type="spellStart"/>
            <w:r w:rsidRPr="00383F39">
              <w:rPr>
                <w:rFonts w:eastAsia="Calibri"/>
                <w:sz w:val="18"/>
                <w:szCs w:val="18"/>
                <w:lang w:val="en-US" w:eastAsia="en-US"/>
              </w:rPr>
              <w:t>prevederile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Regulamentului</w:t>
            </w:r>
            <w:proofErr w:type="spellEnd"/>
            <w:r w:rsidRPr="00383F39">
              <w:rPr>
                <w:rFonts w:eastAsia="Calibri"/>
                <w:sz w:val="18"/>
                <w:szCs w:val="18"/>
                <w:lang w:val="en-US" w:eastAsia="en-US"/>
              </w:rPr>
              <w:t xml:space="preserve"> 114/2018 </w:t>
            </w:r>
            <w:proofErr w:type="spellStart"/>
            <w:r w:rsidRPr="00383F39">
              <w:rPr>
                <w:rFonts w:eastAsia="Calibri"/>
                <w:sz w:val="18"/>
                <w:szCs w:val="18"/>
                <w:lang w:val="en-US" w:eastAsia="en-US"/>
              </w:rPr>
              <w:t>și</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identifică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tranzacția</w:t>
            </w:r>
            <w:proofErr w:type="spellEnd"/>
            <w:r w:rsidRPr="00383F39">
              <w:rPr>
                <w:rFonts w:eastAsia="Calibri"/>
                <w:sz w:val="18"/>
                <w:szCs w:val="18"/>
                <w:lang w:val="en-US" w:eastAsia="en-US"/>
              </w:rPr>
              <w:t xml:space="preserve"> ca </w:t>
            </w:r>
            <w:proofErr w:type="spellStart"/>
            <w:r w:rsidRPr="00383F39">
              <w:rPr>
                <w:rFonts w:eastAsia="Calibri"/>
                <w:sz w:val="18"/>
                <w:szCs w:val="18"/>
                <w:lang w:val="en-US" w:eastAsia="en-US"/>
              </w:rPr>
              <w:t>fiind</w:t>
            </w:r>
            <w:proofErr w:type="spellEnd"/>
            <w:r w:rsidRPr="00383F39">
              <w:rPr>
                <w:rFonts w:eastAsia="Calibri"/>
                <w:sz w:val="18"/>
                <w:szCs w:val="18"/>
                <w:lang w:val="en-US" w:eastAsia="en-US"/>
              </w:rPr>
              <w:t xml:space="preserve"> o </w:t>
            </w:r>
            <w:proofErr w:type="spellStart"/>
            <w:r w:rsidRPr="00383F39">
              <w:rPr>
                <w:rFonts w:eastAsia="Calibri"/>
                <w:sz w:val="18"/>
                <w:szCs w:val="18"/>
                <w:lang w:val="en-US" w:eastAsia="en-US"/>
              </w:rPr>
              <w:t>poziție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lungă</w:t>
            </w:r>
            <w:proofErr w:type="spellEnd"/>
            <w:r w:rsidRPr="00383F39">
              <w:rPr>
                <w:rFonts w:eastAsia="Calibri"/>
                <w:sz w:val="18"/>
                <w:szCs w:val="18"/>
                <w:lang w:val="en-US" w:eastAsia="en-US"/>
              </w:rPr>
              <w:t xml:space="preserve"> pe un determinant de </w:t>
            </w:r>
            <w:proofErr w:type="spellStart"/>
            <w:r w:rsidRPr="00383F39">
              <w:rPr>
                <w:rFonts w:eastAsia="Calibri"/>
                <w:sz w:val="18"/>
                <w:szCs w:val="18"/>
                <w:lang w:val="en-US" w:eastAsia="en-US"/>
              </w:rPr>
              <w:t>risc</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în</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cazul</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în</w:t>
            </w:r>
            <w:proofErr w:type="spellEnd"/>
            <w:r w:rsidRPr="00383F39">
              <w:rPr>
                <w:rFonts w:eastAsia="Calibri"/>
                <w:sz w:val="18"/>
                <w:szCs w:val="18"/>
                <w:lang w:val="en-US" w:eastAsia="en-US"/>
              </w:rPr>
              <w:t xml:space="preserve"> care </w:t>
            </w:r>
            <w:proofErr w:type="spellStart"/>
            <w:r w:rsidRPr="00383F39">
              <w:rPr>
                <w:rFonts w:eastAsia="Calibri"/>
                <w:sz w:val="18"/>
                <w:szCs w:val="18"/>
                <w:lang w:val="en-US" w:eastAsia="en-US"/>
              </w:rPr>
              <w:t>sensibilitatea</w:t>
            </w:r>
            <w:proofErr w:type="spellEnd"/>
            <w:r w:rsidRPr="00383F39">
              <w:rPr>
                <w:rFonts w:eastAsia="Calibri"/>
                <w:sz w:val="18"/>
                <w:szCs w:val="18"/>
                <w:lang w:val="en-US" w:eastAsia="en-US"/>
              </w:rPr>
              <w:t xml:space="preserve"> la </w:t>
            </w:r>
            <w:proofErr w:type="spellStart"/>
            <w:r w:rsidRPr="00383F39">
              <w:rPr>
                <w:rFonts w:eastAsia="Calibri"/>
                <w:sz w:val="18"/>
                <w:szCs w:val="18"/>
                <w:lang w:val="en-US" w:eastAsia="en-US"/>
              </w:rPr>
              <w:t>riscul</w:t>
            </w:r>
            <w:proofErr w:type="spellEnd"/>
            <w:r w:rsidRPr="00383F39">
              <w:rPr>
                <w:rFonts w:eastAsia="Calibri"/>
                <w:sz w:val="18"/>
                <w:szCs w:val="18"/>
                <w:lang w:val="en-US" w:eastAsia="en-US"/>
              </w:rPr>
              <w:t xml:space="preserve"> delta </w:t>
            </w:r>
            <w:proofErr w:type="spellStart"/>
            <w:r w:rsidRPr="00383F39">
              <w:rPr>
                <w:rFonts w:eastAsia="Calibri"/>
                <w:sz w:val="18"/>
                <w:szCs w:val="18"/>
                <w:lang w:val="en-US" w:eastAsia="en-US"/>
              </w:rPr>
              <w:t>corespunzătoare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este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pozitivă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respectiv</w:t>
            </w:r>
            <w:proofErr w:type="spellEnd"/>
            <w:r w:rsidRPr="00383F39">
              <w:rPr>
                <w:rFonts w:eastAsia="Calibri"/>
                <w:sz w:val="18"/>
                <w:szCs w:val="18"/>
                <w:lang w:val="en-US" w:eastAsia="en-US"/>
              </w:rPr>
              <w:t xml:space="preserve"> ca </w:t>
            </w:r>
            <w:proofErr w:type="spellStart"/>
            <w:r w:rsidRPr="00383F39">
              <w:rPr>
                <w:rFonts w:eastAsia="Calibri"/>
                <w:sz w:val="18"/>
                <w:szCs w:val="18"/>
                <w:lang w:val="en-US" w:eastAsia="en-US"/>
              </w:rPr>
              <w:t>fiind</w:t>
            </w:r>
            <w:proofErr w:type="spellEnd"/>
            <w:r w:rsidRPr="00383F39">
              <w:rPr>
                <w:rFonts w:eastAsia="Calibri"/>
                <w:sz w:val="18"/>
                <w:szCs w:val="18"/>
                <w:lang w:val="en-US" w:eastAsia="en-US"/>
              </w:rPr>
              <w:t xml:space="preserve"> o </w:t>
            </w:r>
            <w:proofErr w:type="spellStart"/>
            <w:r w:rsidRPr="00383F39">
              <w:rPr>
                <w:rFonts w:eastAsia="Calibri"/>
                <w:sz w:val="18"/>
                <w:szCs w:val="18"/>
                <w:lang w:val="en-US" w:eastAsia="en-US"/>
              </w:rPr>
              <w:t>poziție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scurtă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în</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cazul</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în</w:t>
            </w:r>
            <w:proofErr w:type="spellEnd"/>
            <w:r w:rsidRPr="00383F39">
              <w:rPr>
                <w:rFonts w:eastAsia="Calibri"/>
                <w:sz w:val="18"/>
                <w:szCs w:val="18"/>
                <w:lang w:val="en-US" w:eastAsia="en-US"/>
              </w:rPr>
              <w:t xml:space="preserve"> care </w:t>
            </w:r>
            <w:proofErr w:type="spellStart"/>
            <w:r w:rsidRPr="00383F39">
              <w:rPr>
                <w:rFonts w:eastAsia="Calibri"/>
                <w:sz w:val="18"/>
                <w:szCs w:val="18"/>
                <w:lang w:val="en-US" w:eastAsia="en-US"/>
              </w:rPr>
              <w:t>sensibilitatea</w:t>
            </w:r>
            <w:proofErr w:type="spellEnd"/>
            <w:r w:rsidRPr="00383F39">
              <w:rPr>
                <w:rFonts w:eastAsia="Calibri"/>
                <w:sz w:val="18"/>
                <w:szCs w:val="18"/>
                <w:lang w:val="en-US" w:eastAsia="en-US"/>
              </w:rPr>
              <w:t xml:space="preserve"> la </w:t>
            </w:r>
            <w:proofErr w:type="spellStart"/>
            <w:r w:rsidRPr="00383F39">
              <w:rPr>
                <w:rFonts w:eastAsia="Calibri"/>
                <w:sz w:val="18"/>
                <w:szCs w:val="18"/>
                <w:lang w:val="en-US" w:eastAsia="en-US"/>
              </w:rPr>
              <w:t>riscul</w:t>
            </w:r>
            <w:proofErr w:type="spellEnd"/>
            <w:r w:rsidRPr="00383F39">
              <w:rPr>
                <w:rFonts w:eastAsia="Calibri"/>
                <w:sz w:val="18"/>
                <w:szCs w:val="18"/>
                <w:lang w:val="en-US" w:eastAsia="en-US"/>
              </w:rPr>
              <w:t xml:space="preserve"> delta </w:t>
            </w:r>
            <w:proofErr w:type="spellStart"/>
            <w:r w:rsidRPr="00383F39">
              <w:rPr>
                <w:rFonts w:eastAsia="Calibri"/>
                <w:sz w:val="18"/>
                <w:szCs w:val="18"/>
                <w:lang w:val="en-US" w:eastAsia="en-US"/>
              </w:rPr>
              <w:t>corespunzătoare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este</w:t>
            </w:r>
            <w:proofErr w:type="spellEnd"/>
            <w:r w:rsidRPr="00383F39">
              <w:rPr>
                <w:rFonts w:eastAsia="Calibri"/>
                <w:sz w:val="18"/>
                <w:szCs w:val="18"/>
                <w:lang w:val="en-US" w:eastAsia="en-US"/>
              </w:rPr>
              <w:t xml:space="preserve"> </w:t>
            </w:r>
            <w:proofErr w:type="spellStart"/>
            <w:proofErr w:type="gramStart"/>
            <w:r w:rsidRPr="00383F39">
              <w:rPr>
                <w:rFonts w:eastAsia="Calibri"/>
                <w:sz w:val="18"/>
                <w:szCs w:val="18"/>
                <w:lang w:val="en-US" w:eastAsia="en-US"/>
              </w:rPr>
              <w:t>negativă</w:t>
            </w:r>
            <w:proofErr w:type="spellEnd"/>
            <w:r w:rsidRPr="00383F39">
              <w:rPr>
                <w:rFonts w:eastAsia="Calibri"/>
                <w:sz w:val="18"/>
                <w:szCs w:val="18"/>
                <w:lang w:val="en-US" w:eastAsia="en-US"/>
              </w:rPr>
              <w:t>;</w:t>
            </w:r>
            <w:proofErr w:type="gramEnd"/>
          </w:p>
          <w:p w14:paraId="29249AC3" w14:textId="3CA44C5E" w:rsidR="002D6B17" w:rsidRPr="00383F39" w:rsidRDefault="002D6B17" w:rsidP="002D6B17">
            <w:pPr>
              <w:spacing w:after="200"/>
              <w:jc w:val="both"/>
              <w:rPr>
                <w:rFonts w:eastAsia="Calibri"/>
                <w:sz w:val="18"/>
                <w:szCs w:val="18"/>
                <w:lang w:val="en-US" w:eastAsia="en-US"/>
              </w:rPr>
            </w:pPr>
            <w:r w:rsidRPr="00383F39">
              <w:rPr>
                <w:rFonts w:eastAsia="Calibri"/>
                <w:sz w:val="18"/>
                <w:szCs w:val="18"/>
                <w:lang w:val="en-US" w:eastAsia="en-US"/>
              </w:rPr>
              <w:t xml:space="preserve">13.2. </w:t>
            </w:r>
            <w:proofErr w:type="spellStart"/>
            <w:r w:rsidRPr="00383F39">
              <w:rPr>
                <w:rFonts w:eastAsia="Calibri"/>
                <w:sz w:val="18"/>
                <w:szCs w:val="18"/>
                <w:lang w:val="en-US" w:eastAsia="en-US"/>
              </w:rPr>
              <w:t>evaluează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dependența</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structurii</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fluxurilor</w:t>
            </w:r>
            <w:proofErr w:type="spellEnd"/>
            <w:r w:rsidRPr="00383F39">
              <w:rPr>
                <w:rFonts w:eastAsia="Calibri"/>
                <w:sz w:val="18"/>
                <w:szCs w:val="18"/>
                <w:lang w:val="en-US" w:eastAsia="en-US"/>
              </w:rPr>
              <w:t xml:space="preserve"> de </w:t>
            </w:r>
            <w:proofErr w:type="spellStart"/>
            <w:r w:rsidRPr="00383F39">
              <w:rPr>
                <w:rFonts w:eastAsia="Calibri"/>
                <w:sz w:val="18"/>
                <w:szCs w:val="18"/>
                <w:lang w:val="en-US" w:eastAsia="en-US"/>
              </w:rPr>
              <w:t>trezorerie</w:t>
            </w:r>
            <w:proofErr w:type="spellEnd"/>
            <w:r w:rsidRPr="00383F39">
              <w:rPr>
                <w:rFonts w:eastAsia="Calibri"/>
                <w:sz w:val="18"/>
                <w:szCs w:val="18"/>
                <w:lang w:val="en-US" w:eastAsia="en-US"/>
              </w:rPr>
              <w:t xml:space="preserve"> ale </w:t>
            </w:r>
            <w:proofErr w:type="spellStart"/>
            <w:r w:rsidRPr="00383F39">
              <w:rPr>
                <w:rFonts w:eastAsia="Calibri"/>
                <w:sz w:val="18"/>
                <w:szCs w:val="18"/>
                <w:lang w:val="en-US" w:eastAsia="en-US"/>
              </w:rPr>
              <w:t>tranzacțiilor</w:t>
            </w:r>
            <w:proofErr w:type="spellEnd"/>
            <w:r w:rsidRPr="00383F39">
              <w:rPr>
                <w:rFonts w:eastAsia="Calibri"/>
                <w:sz w:val="18"/>
                <w:szCs w:val="18"/>
                <w:lang w:val="en-US" w:eastAsia="en-US"/>
              </w:rPr>
              <w:t xml:space="preserve"> de </w:t>
            </w:r>
            <w:proofErr w:type="spellStart"/>
            <w:r w:rsidRPr="00383F39">
              <w:rPr>
                <w:rFonts w:eastAsia="Calibri"/>
                <w:sz w:val="18"/>
                <w:szCs w:val="18"/>
                <w:lang w:val="en-US" w:eastAsia="en-US"/>
              </w:rPr>
              <w:t>determinantul</w:t>
            </w:r>
            <w:proofErr w:type="spellEnd"/>
            <w:r w:rsidRPr="00383F39">
              <w:rPr>
                <w:rFonts w:eastAsia="Calibri"/>
                <w:sz w:val="18"/>
                <w:szCs w:val="18"/>
                <w:lang w:val="en-US" w:eastAsia="en-US"/>
              </w:rPr>
              <w:t xml:space="preserve"> de </w:t>
            </w:r>
            <w:proofErr w:type="spellStart"/>
            <w:r w:rsidRPr="00383F39">
              <w:rPr>
                <w:rFonts w:eastAsia="Calibri"/>
                <w:sz w:val="18"/>
                <w:szCs w:val="18"/>
                <w:lang w:val="en-US" w:eastAsia="en-US"/>
              </w:rPr>
              <w:t>risc</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respectiv</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sau</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scopul</w:t>
            </w:r>
            <w:proofErr w:type="spellEnd"/>
            <w:r w:rsidRPr="00383F39">
              <w:rPr>
                <w:rFonts w:eastAsia="Calibri"/>
                <w:sz w:val="18"/>
                <w:szCs w:val="18"/>
                <w:lang w:val="en-US" w:eastAsia="en-US"/>
              </w:rPr>
              <w:t xml:space="preserve"> de </w:t>
            </w:r>
            <w:proofErr w:type="spellStart"/>
            <w:r w:rsidRPr="00383F39">
              <w:rPr>
                <w:rFonts w:eastAsia="Calibri"/>
                <w:sz w:val="18"/>
                <w:szCs w:val="18"/>
                <w:lang w:val="en-US" w:eastAsia="en-US"/>
              </w:rPr>
              <w:t>acoperire</w:t>
            </w:r>
            <w:proofErr w:type="spellEnd"/>
            <w:r w:rsidRPr="00383F39">
              <w:rPr>
                <w:rFonts w:eastAsia="Calibri"/>
                <w:sz w:val="18"/>
                <w:szCs w:val="18"/>
                <w:lang w:val="en-US" w:eastAsia="en-US"/>
              </w:rPr>
              <w:t xml:space="preserve"> al </w:t>
            </w:r>
            <w:proofErr w:type="spellStart"/>
            <w:r w:rsidRPr="00383F39">
              <w:rPr>
                <w:rFonts w:eastAsia="Calibri"/>
                <w:sz w:val="18"/>
                <w:szCs w:val="18"/>
                <w:lang w:val="en-US" w:eastAsia="en-US"/>
              </w:rPr>
              <w:t>tranzacției</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în</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ceea</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ce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privește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determinantul</w:t>
            </w:r>
            <w:proofErr w:type="spellEnd"/>
            <w:r w:rsidRPr="00383F39">
              <w:rPr>
                <w:rFonts w:eastAsia="Calibri"/>
                <w:sz w:val="18"/>
                <w:szCs w:val="18"/>
                <w:lang w:val="en-US" w:eastAsia="en-US"/>
              </w:rPr>
              <w:t xml:space="preserve"> de </w:t>
            </w:r>
            <w:proofErr w:type="spellStart"/>
            <w:r w:rsidRPr="00383F39">
              <w:rPr>
                <w:rFonts w:eastAsia="Calibri"/>
                <w:sz w:val="18"/>
                <w:szCs w:val="18"/>
                <w:lang w:val="en-US" w:eastAsia="en-US"/>
              </w:rPr>
              <w:t>risc</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respectiv</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și</w:t>
            </w:r>
            <w:proofErr w:type="spellEnd"/>
            <w:r w:rsidRPr="00383F39">
              <w:rPr>
                <w:rFonts w:eastAsia="Calibri"/>
                <w:sz w:val="18"/>
                <w:szCs w:val="18"/>
                <w:lang w:val="en-US" w:eastAsia="en-US"/>
              </w:rPr>
              <w:t xml:space="preserve">, pe </w:t>
            </w:r>
            <w:proofErr w:type="spellStart"/>
            <w:r w:rsidRPr="00383F39">
              <w:rPr>
                <w:rFonts w:eastAsia="Calibri"/>
                <w:sz w:val="18"/>
                <w:szCs w:val="18"/>
                <w:lang w:val="en-US" w:eastAsia="en-US"/>
              </w:rPr>
              <w:t>baza</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acestei</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evaluări</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identifică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tranzacția</w:t>
            </w:r>
            <w:proofErr w:type="spellEnd"/>
            <w:r w:rsidRPr="00383F39">
              <w:rPr>
                <w:rFonts w:eastAsia="Calibri"/>
                <w:sz w:val="18"/>
                <w:szCs w:val="18"/>
                <w:lang w:val="en-US" w:eastAsia="en-US"/>
              </w:rPr>
              <w:t xml:space="preserve"> ca </w:t>
            </w:r>
            <w:proofErr w:type="spellStart"/>
            <w:r w:rsidRPr="00383F39">
              <w:rPr>
                <w:rFonts w:eastAsia="Calibri"/>
                <w:sz w:val="18"/>
                <w:szCs w:val="18"/>
                <w:lang w:val="en-US" w:eastAsia="en-US"/>
              </w:rPr>
              <w:t>fiind</w:t>
            </w:r>
            <w:proofErr w:type="spellEnd"/>
            <w:r w:rsidRPr="00383F39">
              <w:rPr>
                <w:rFonts w:eastAsia="Calibri"/>
                <w:sz w:val="18"/>
                <w:szCs w:val="18"/>
                <w:lang w:val="en-US" w:eastAsia="en-US"/>
              </w:rPr>
              <w:t xml:space="preserve"> o </w:t>
            </w:r>
            <w:proofErr w:type="spellStart"/>
            <w:r w:rsidRPr="00383F39">
              <w:rPr>
                <w:rFonts w:eastAsia="Calibri"/>
                <w:sz w:val="18"/>
                <w:szCs w:val="18"/>
                <w:lang w:val="en-US" w:eastAsia="en-US"/>
              </w:rPr>
              <w:t>poziție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lungă</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respectiv</w:t>
            </w:r>
            <w:proofErr w:type="spellEnd"/>
            <w:r w:rsidRPr="00383F39">
              <w:rPr>
                <w:rFonts w:eastAsia="Calibri"/>
                <w:sz w:val="18"/>
                <w:szCs w:val="18"/>
                <w:lang w:val="en-US" w:eastAsia="en-US"/>
              </w:rPr>
              <w:t xml:space="preserve"> o </w:t>
            </w:r>
            <w:proofErr w:type="spellStart"/>
            <w:r w:rsidRPr="00383F39">
              <w:rPr>
                <w:rFonts w:eastAsia="Calibri"/>
                <w:sz w:val="18"/>
                <w:szCs w:val="18"/>
                <w:lang w:val="en-US" w:eastAsia="en-US"/>
              </w:rPr>
              <w:t>poziție</w:t>
            </w:r>
            <w:proofErr w:type="spellEnd"/>
            <w:r w:rsidRPr="00383F39">
              <w:rPr>
                <w:rFonts w:eastAsia="Calibri"/>
                <w:sz w:val="18"/>
                <w:szCs w:val="18"/>
                <w:lang w:val="en-US" w:eastAsia="en-US"/>
              </w:rPr>
              <w:t xml:space="preserve"> </w:t>
            </w:r>
            <w:proofErr w:type="spellStart"/>
            <w:r w:rsidRPr="00383F39">
              <w:rPr>
                <w:rFonts w:eastAsia="Calibri"/>
                <w:sz w:val="18"/>
                <w:szCs w:val="18"/>
                <w:lang w:val="en-US" w:eastAsia="en-US"/>
              </w:rPr>
              <w:t>scurtă</w:t>
            </w:r>
            <w:proofErr w:type="spellEnd"/>
            <w:r w:rsidRPr="00383F39">
              <w:rPr>
                <w:rFonts w:eastAsia="Calibri"/>
                <w:sz w:val="18"/>
                <w:szCs w:val="18"/>
                <w:lang w:val="en-US" w:eastAsia="en-US"/>
              </w:rPr>
              <w:t>.</w:t>
            </w:r>
          </w:p>
        </w:tc>
        <w:tc>
          <w:tcPr>
            <w:tcW w:w="1229" w:type="dxa"/>
          </w:tcPr>
          <w:p w14:paraId="7C51FC95" w14:textId="4086619A" w:rsidR="002D6B17" w:rsidRPr="00383F39" w:rsidRDefault="002D6B17" w:rsidP="002D6B17">
            <w:pPr>
              <w:jc w:val="both"/>
              <w:rPr>
                <w:bCs/>
                <w:sz w:val="18"/>
                <w:szCs w:val="18"/>
                <w:lang w:val="ro-MD"/>
              </w:rPr>
            </w:pPr>
            <w:r w:rsidRPr="00383F39">
              <w:rPr>
                <w:bCs/>
                <w:sz w:val="18"/>
                <w:szCs w:val="18"/>
                <w:lang w:val="ro-MD"/>
              </w:rPr>
              <w:t>Compatibil</w:t>
            </w:r>
          </w:p>
        </w:tc>
        <w:tc>
          <w:tcPr>
            <w:tcW w:w="5292" w:type="dxa"/>
            <w:tcBorders>
              <w:bottom w:val="single" w:sz="4" w:space="0" w:color="auto"/>
            </w:tcBorders>
          </w:tcPr>
          <w:p w14:paraId="7053E6D9" w14:textId="77777777" w:rsidR="002D6B17" w:rsidRPr="005C26D0" w:rsidRDefault="002D6B17" w:rsidP="002D6B17">
            <w:pPr>
              <w:jc w:val="both"/>
              <w:rPr>
                <w:b/>
                <w:sz w:val="18"/>
                <w:szCs w:val="18"/>
                <w:lang w:val="ro-MD"/>
              </w:rPr>
            </w:pPr>
          </w:p>
        </w:tc>
      </w:tr>
      <w:tr w:rsidR="002D6B17" w:rsidRPr="005C26D0" w14:paraId="79BF277E" w14:textId="77777777" w:rsidTr="0065218C">
        <w:trPr>
          <w:trHeight w:val="1300"/>
        </w:trPr>
        <w:tc>
          <w:tcPr>
            <w:tcW w:w="4253" w:type="dxa"/>
          </w:tcPr>
          <w:p w14:paraId="2E461833" w14:textId="005C587F" w:rsidR="002D6B17" w:rsidRPr="005C26D0" w:rsidRDefault="002D6B17" w:rsidP="002D6B17">
            <w:pPr>
              <w:rPr>
                <w:b/>
                <w:bCs/>
                <w:sz w:val="18"/>
                <w:szCs w:val="18"/>
                <w:lang w:val="en-US"/>
              </w:rPr>
            </w:pPr>
            <w:proofErr w:type="spellStart"/>
            <w:r w:rsidRPr="005C26D0">
              <w:rPr>
                <w:i/>
                <w:iCs/>
                <w:sz w:val="18"/>
                <w:szCs w:val="18"/>
                <w:lang w:val="en-US"/>
              </w:rPr>
              <w:t>Articolul</w:t>
            </w:r>
            <w:proofErr w:type="spellEnd"/>
            <w:r w:rsidRPr="005C26D0">
              <w:rPr>
                <w:i/>
                <w:iCs/>
                <w:sz w:val="18"/>
                <w:szCs w:val="18"/>
                <w:lang w:val="en-US"/>
              </w:rPr>
              <w:t xml:space="preserve"> 7</w:t>
            </w:r>
            <w:r>
              <w:rPr>
                <w:i/>
                <w:iCs/>
                <w:sz w:val="18"/>
                <w:szCs w:val="18"/>
                <w:lang w:val="en-US"/>
              </w:rPr>
              <w:t xml:space="preserve"> </w:t>
            </w:r>
            <w:proofErr w:type="spellStart"/>
            <w:r w:rsidRPr="005C26D0">
              <w:rPr>
                <w:b/>
                <w:bCs/>
                <w:sz w:val="18"/>
                <w:szCs w:val="18"/>
                <w:lang w:val="en-US"/>
              </w:rPr>
              <w:t>Intrare</w:t>
            </w:r>
            <w:proofErr w:type="spellEnd"/>
            <w:r w:rsidRPr="005C26D0">
              <w:rPr>
                <w:b/>
                <w:bCs/>
                <w:sz w:val="18"/>
                <w:szCs w:val="18"/>
                <w:lang w:val="en-US"/>
              </w:rPr>
              <w:t xml:space="preserve"> </w:t>
            </w:r>
            <w:proofErr w:type="spellStart"/>
            <w:r w:rsidRPr="005C26D0">
              <w:rPr>
                <w:b/>
                <w:bCs/>
                <w:sz w:val="18"/>
                <w:szCs w:val="18"/>
                <w:lang w:val="en-US"/>
              </w:rPr>
              <w:t>în</w:t>
            </w:r>
            <w:proofErr w:type="spellEnd"/>
            <w:r w:rsidRPr="005C26D0">
              <w:rPr>
                <w:b/>
                <w:bCs/>
                <w:sz w:val="18"/>
                <w:szCs w:val="18"/>
                <w:lang w:val="en-US"/>
              </w:rPr>
              <w:t xml:space="preserve"> </w:t>
            </w:r>
            <w:proofErr w:type="spellStart"/>
            <w:r w:rsidRPr="005C26D0">
              <w:rPr>
                <w:b/>
                <w:bCs/>
                <w:sz w:val="18"/>
                <w:szCs w:val="18"/>
                <w:lang w:val="en-US"/>
              </w:rPr>
              <w:t>vigoare</w:t>
            </w:r>
            <w:proofErr w:type="spellEnd"/>
          </w:p>
          <w:p w14:paraId="056B13C0" w14:textId="77777777" w:rsidR="002D6B17" w:rsidRPr="005C26D0" w:rsidRDefault="002D6B17" w:rsidP="002D6B17">
            <w:pPr>
              <w:rPr>
                <w:sz w:val="18"/>
                <w:szCs w:val="18"/>
                <w:lang w:val="en-US"/>
              </w:rPr>
            </w:pPr>
          </w:p>
          <w:p w14:paraId="7791965F" w14:textId="15C2B415" w:rsidR="002D6B17" w:rsidRPr="005C26D0" w:rsidRDefault="002D6B17" w:rsidP="002D6B17">
            <w:pPr>
              <w:rPr>
                <w:sz w:val="18"/>
                <w:szCs w:val="18"/>
                <w:lang w:val="en-US"/>
              </w:rPr>
            </w:pP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 xml:space="preserve"> </w:t>
            </w:r>
            <w:proofErr w:type="spellStart"/>
            <w:r w:rsidRPr="005C26D0">
              <w:rPr>
                <w:sz w:val="18"/>
                <w:szCs w:val="18"/>
                <w:lang w:val="en-US"/>
              </w:rPr>
              <w:t>intră</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vigoare</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a </w:t>
            </w:r>
            <w:proofErr w:type="spellStart"/>
            <w:r w:rsidRPr="005C26D0">
              <w:rPr>
                <w:sz w:val="18"/>
                <w:szCs w:val="18"/>
                <w:lang w:val="en-US"/>
              </w:rPr>
              <w:t>douăzecea</w:t>
            </w:r>
            <w:proofErr w:type="spellEnd"/>
            <w:r w:rsidRPr="005C26D0">
              <w:rPr>
                <w:sz w:val="18"/>
                <w:szCs w:val="18"/>
                <w:lang w:val="en-US"/>
              </w:rPr>
              <w:t xml:space="preserve"> zi de la data </w:t>
            </w:r>
            <w:proofErr w:type="spellStart"/>
            <w:r w:rsidRPr="005C26D0">
              <w:rPr>
                <w:sz w:val="18"/>
                <w:szCs w:val="18"/>
                <w:lang w:val="en-US"/>
              </w:rPr>
              <w:t>publicării</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Jurnalul </w:t>
            </w:r>
            <w:proofErr w:type="spellStart"/>
            <w:r w:rsidRPr="005C26D0">
              <w:rPr>
                <w:sz w:val="18"/>
                <w:szCs w:val="18"/>
                <w:lang w:val="en-US"/>
              </w:rPr>
              <w:t>Oficial</w:t>
            </w:r>
            <w:proofErr w:type="spellEnd"/>
            <w:r w:rsidRPr="005C26D0">
              <w:rPr>
                <w:sz w:val="18"/>
                <w:szCs w:val="18"/>
                <w:lang w:val="en-US"/>
              </w:rPr>
              <w:t xml:space="preserve"> al </w:t>
            </w:r>
            <w:proofErr w:type="spellStart"/>
            <w:r w:rsidRPr="005C26D0">
              <w:rPr>
                <w:sz w:val="18"/>
                <w:szCs w:val="18"/>
                <w:lang w:val="en-US"/>
              </w:rPr>
              <w:t>Uniunii</w:t>
            </w:r>
            <w:proofErr w:type="spellEnd"/>
            <w:r w:rsidRPr="005C26D0">
              <w:rPr>
                <w:sz w:val="18"/>
                <w:szCs w:val="18"/>
                <w:lang w:val="en-US"/>
              </w:rPr>
              <w:t xml:space="preserve"> </w:t>
            </w:r>
            <w:proofErr w:type="spellStart"/>
            <w:r w:rsidRPr="005C26D0">
              <w:rPr>
                <w:sz w:val="18"/>
                <w:szCs w:val="18"/>
                <w:lang w:val="en-US"/>
              </w:rPr>
              <w:t>Europene</w:t>
            </w:r>
            <w:proofErr w:type="spellEnd"/>
            <w:r w:rsidRPr="005C26D0">
              <w:rPr>
                <w:sz w:val="18"/>
                <w:szCs w:val="18"/>
                <w:lang w:val="en-US"/>
              </w:rPr>
              <w:t>.</w:t>
            </w:r>
          </w:p>
          <w:p w14:paraId="2FD1F848" w14:textId="37BD0654" w:rsidR="002D6B17" w:rsidRPr="005C26D0" w:rsidRDefault="002D6B17" w:rsidP="002D6B17">
            <w:pPr>
              <w:rPr>
                <w:sz w:val="18"/>
                <w:szCs w:val="18"/>
                <w:lang w:val="en-US"/>
              </w:rPr>
            </w:pPr>
            <w:proofErr w:type="spellStart"/>
            <w:r w:rsidRPr="005C26D0">
              <w:rPr>
                <w:sz w:val="18"/>
                <w:szCs w:val="18"/>
                <w:lang w:val="en-US"/>
              </w:rPr>
              <w:t>Prezentul</w:t>
            </w:r>
            <w:proofErr w:type="spellEnd"/>
            <w:r w:rsidRPr="005C26D0">
              <w:rPr>
                <w:sz w:val="18"/>
                <w:szCs w:val="18"/>
                <w:lang w:val="en-US"/>
              </w:rPr>
              <w:t xml:space="preserve"> </w:t>
            </w:r>
            <w:proofErr w:type="spellStart"/>
            <w:r w:rsidRPr="005C26D0">
              <w:rPr>
                <w:sz w:val="18"/>
                <w:szCs w:val="18"/>
                <w:lang w:val="en-US"/>
              </w:rPr>
              <w:t>regulament</w:t>
            </w:r>
            <w:proofErr w:type="spellEnd"/>
            <w:r w:rsidRPr="005C26D0">
              <w:rPr>
                <w:sz w:val="18"/>
                <w:szCs w:val="18"/>
                <w:lang w:val="en-US"/>
              </w:rPr>
              <w:t xml:space="preserve"> </w:t>
            </w:r>
            <w:proofErr w:type="spellStart"/>
            <w:r w:rsidRPr="005C26D0">
              <w:rPr>
                <w:sz w:val="18"/>
                <w:szCs w:val="18"/>
                <w:lang w:val="en-US"/>
              </w:rPr>
              <w:t>este</w:t>
            </w:r>
            <w:proofErr w:type="spellEnd"/>
            <w:r w:rsidRPr="005C26D0">
              <w:rPr>
                <w:sz w:val="18"/>
                <w:szCs w:val="18"/>
                <w:lang w:val="en-US"/>
              </w:rPr>
              <w:t xml:space="preserve"> </w:t>
            </w:r>
            <w:proofErr w:type="spellStart"/>
            <w:r w:rsidRPr="005C26D0">
              <w:rPr>
                <w:sz w:val="18"/>
                <w:szCs w:val="18"/>
                <w:lang w:val="en-US"/>
              </w:rPr>
              <w:t>obligatoriu</w:t>
            </w:r>
            <w:proofErr w:type="spellEnd"/>
            <w:r w:rsidRPr="005C26D0">
              <w:rPr>
                <w:sz w:val="18"/>
                <w:szCs w:val="18"/>
                <w:lang w:val="en-US"/>
              </w:rPr>
              <w:t xml:space="preserve">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toate</w:t>
            </w:r>
            <w:proofErr w:type="spellEnd"/>
            <w:r w:rsidRPr="005C26D0">
              <w:rPr>
                <w:sz w:val="18"/>
                <w:szCs w:val="18"/>
                <w:lang w:val="en-US"/>
              </w:rPr>
              <w:t xml:space="preserve"> </w:t>
            </w:r>
            <w:proofErr w:type="spellStart"/>
            <w:r w:rsidRPr="005C26D0">
              <w:rPr>
                <w:sz w:val="18"/>
                <w:szCs w:val="18"/>
                <w:lang w:val="en-US"/>
              </w:rPr>
              <w:t>elementele</w:t>
            </w:r>
            <w:proofErr w:type="spellEnd"/>
            <w:r w:rsidRPr="005C26D0">
              <w:rPr>
                <w:sz w:val="18"/>
                <w:szCs w:val="18"/>
                <w:lang w:val="en-US"/>
              </w:rPr>
              <w:t xml:space="preserve"> sale </w:t>
            </w:r>
            <w:proofErr w:type="spellStart"/>
            <w:r w:rsidRPr="005C26D0">
              <w:rPr>
                <w:sz w:val="18"/>
                <w:szCs w:val="18"/>
                <w:lang w:val="en-US"/>
              </w:rPr>
              <w:t>și</w:t>
            </w:r>
            <w:proofErr w:type="spellEnd"/>
            <w:r w:rsidRPr="005C26D0">
              <w:rPr>
                <w:sz w:val="18"/>
                <w:szCs w:val="18"/>
                <w:lang w:val="en-US"/>
              </w:rPr>
              <w:t xml:space="preserve"> se </w:t>
            </w:r>
            <w:proofErr w:type="spellStart"/>
            <w:r w:rsidRPr="005C26D0">
              <w:rPr>
                <w:sz w:val="18"/>
                <w:szCs w:val="18"/>
                <w:lang w:val="en-US"/>
              </w:rPr>
              <w:t>aplică</w:t>
            </w:r>
            <w:proofErr w:type="spellEnd"/>
            <w:r w:rsidRPr="005C26D0">
              <w:rPr>
                <w:sz w:val="18"/>
                <w:szCs w:val="18"/>
                <w:lang w:val="en-US"/>
              </w:rPr>
              <w:t xml:space="preserve"> direct </w:t>
            </w:r>
            <w:proofErr w:type="spellStart"/>
            <w:r w:rsidRPr="005C26D0">
              <w:rPr>
                <w:sz w:val="18"/>
                <w:szCs w:val="18"/>
                <w:lang w:val="en-US"/>
              </w:rPr>
              <w:t>în</w:t>
            </w:r>
            <w:proofErr w:type="spellEnd"/>
            <w:r w:rsidRPr="005C26D0">
              <w:rPr>
                <w:sz w:val="18"/>
                <w:szCs w:val="18"/>
                <w:lang w:val="en-US"/>
              </w:rPr>
              <w:t xml:space="preserve"> </w:t>
            </w:r>
            <w:proofErr w:type="spellStart"/>
            <w:r w:rsidRPr="005C26D0">
              <w:rPr>
                <w:sz w:val="18"/>
                <w:szCs w:val="18"/>
                <w:lang w:val="en-US"/>
              </w:rPr>
              <w:t>toate</w:t>
            </w:r>
            <w:proofErr w:type="spellEnd"/>
            <w:r w:rsidRPr="005C26D0">
              <w:rPr>
                <w:sz w:val="18"/>
                <w:szCs w:val="18"/>
                <w:lang w:val="en-US"/>
              </w:rPr>
              <w:t xml:space="preserve"> </w:t>
            </w:r>
            <w:proofErr w:type="spellStart"/>
            <w:r w:rsidRPr="005C26D0">
              <w:rPr>
                <w:sz w:val="18"/>
                <w:szCs w:val="18"/>
                <w:lang w:val="en-US"/>
              </w:rPr>
              <w:t>statele</w:t>
            </w:r>
            <w:proofErr w:type="spellEnd"/>
            <w:r w:rsidRPr="005C26D0">
              <w:rPr>
                <w:sz w:val="18"/>
                <w:szCs w:val="18"/>
                <w:lang w:val="en-US"/>
              </w:rPr>
              <w:t xml:space="preserve"> </w:t>
            </w:r>
            <w:proofErr w:type="spellStart"/>
            <w:r w:rsidRPr="005C26D0">
              <w:rPr>
                <w:sz w:val="18"/>
                <w:szCs w:val="18"/>
                <w:lang w:val="en-US"/>
              </w:rPr>
              <w:t>membre</w:t>
            </w:r>
            <w:proofErr w:type="spellEnd"/>
            <w:r w:rsidRPr="005C26D0">
              <w:rPr>
                <w:sz w:val="18"/>
                <w:szCs w:val="18"/>
                <w:lang w:val="en-US"/>
              </w:rPr>
              <w:t>.</w:t>
            </w:r>
          </w:p>
        </w:tc>
        <w:tc>
          <w:tcPr>
            <w:tcW w:w="3685" w:type="dxa"/>
          </w:tcPr>
          <w:p w14:paraId="252EA9F1" w14:textId="77777777" w:rsidR="002D6B17" w:rsidRPr="005C26D0" w:rsidRDefault="002D6B17" w:rsidP="002D6B17">
            <w:pPr>
              <w:tabs>
                <w:tab w:val="left" w:pos="540"/>
              </w:tabs>
              <w:ind w:left="-43"/>
              <w:jc w:val="both"/>
              <w:rPr>
                <w:b/>
                <w:bCs/>
                <w:sz w:val="18"/>
                <w:szCs w:val="18"/>
                <w:lang w:val="ro-MD"/>
              </w:rPr>
            </w:pPr>
          </w:p>
        </w:tc>
        <w:tc>
          <w:tcPr>
            <w:tcW w:w="1229" w:type="dxa"/>
          </w:tcPr>
          <w:p w14:paraId="0A3A367B" w14:textId="79FAB3F2" w:rsidR="002D6B17" w:rsidRPr="005C26D0" w:rsidRDefault="002D6B17" w:rsidP="002D6B17">
            <w:pPr>
              <w:jc w:val="both"/>
              <w:rPr>
                <w:sz w:val="18"/>
                <w:szCs w:val="18"/>
                <w:lang w:val="ro-MD"/>
              </w:rPr>
            </w:pPr>
            <w:proofErr w:type="spellStart"/>
            <w:r w:rsidRPr="005C26D0">
              <w:rPr>
                <w:sz w:val="20"/>
                <w:szCs w:val="20"/>
              </w:rPr>
              <w:t>Norme</w:t>
            </w:r>
            <w:proofErr w:type="spellEnd"/>
            <w:r w:rsidRPr="005C26D0">
              <w:rPr>
                <w:sz w:val="20"/>
                <w:szCs w:val="20"/>
              </w:rPr>
              <w:t xml:space="preserve"> UE </w:t>
            </w:r>
            <w:proofErr w:type="spellStart"/>
            <w:r w:rsidRPr="005C26D0">
              <w:rPr>
                <w:sz w:val="20"/>
                <w:szCs w:val="20"/>
              </w:rPr>
              <w:t>neaplicabile</w:t>
            </w:r>
            <w:proofErr w:type="spellEnd"/>
          </w:p>
        </w:tc>
        <w:tc>
          <w:tcPr>
            <w:tcW w:w="5292" w:type="dxa"/>
            <w:tcBorders>
              <w:top w:val="single" w:sz="4" w:space="0" w:color="auto"/>
              <w:bottom w:val="single" w:sz="4" w:space="0" w:color="auto"/>
            </w:tcBorders>
          </w:tcPr>
          <w:p w14:paraId="5F4B9EB6" w14:textId="2F9008D0" w:rsidR="002D6B17" w:rsidRPr="005C26D0" w:rsidRDefault="002D6B17" w:rsidP="002D6B17">
            <w:pPr>
              <w:jc w:val="both"/>
              <w:rPr>
                <w:sz w:val="18"/>
                <w:szCs w:val="18"/>
                <w:lang w:val="ro-MD"/>
              </w:rPr>
            </w:pPr>
          </w:p>
        </w:tc>
      </w:tr>
    </w:tbl>
    <w:p w14:paraId="24296032" w14:textId="65A44E68" w:rsidR="0065218C" w:rsidRPr="005C26D0" w:rsidRDefault="0065218C" w:rsidP="0065218C">
      <w:pPr>
        <w:rPr>
          <w:sz w:val="18"/>
          <w:szCs w:val="18"/>
          <w:lang w:val="ro-MD"/>
        </w:rPr>
      </w:pPr>
    </w:p>
    <w:sectPr w:rsidR="0065218C" w:rsidRPr="005C26D0" w:rsidSect="0044423F">
      <w:headerReference w:type="even" r:id="rId27"/>
      <w:headerReference w:type="default" r:id="rId28"/>
      <w:footerReference w:type="even" r:id="rId29"/>
      <w:footerReference w:type="default" r:id="rId30"/>
      <w:pgSz w:w="16838" w:h="11906" w:orient="landscape" w:code="9"/>
      <w:pgMar w:top="902"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E419" w14:textId="77777777" w:rsidR="00E65703" w:rsidRDefault="00E65703" w:rsidP="00525701">
      <w:r>
        <w:separator/>
      </w:r>
    </w:p>
  </w:endnote>
  <w:endnote w:type="continuationSeparator" w:id="0">
    <w:p w14:paraId="45F8F731" w14:textId="77777777" w:rsidR="00E65703" w:rsidRDefault="00E65703"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A45"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3" w:name="TITUS1FooterEvenPages"/>
    <w:r>
      <w:rPr>
        <w:rStyle w:val="PageNumber"/>
        <w:rFonts w:ascii="PermianSansTypeface" w:hAnsi="PermianSansTypeface"/>
        <w:b/>
        <w:color w:val="000000"/>
        <w:sz w:val="16"/>
        <w:lang w:val="en-US"/>
      </w:rPr>
      <w:t xml:space="preserve"> </w:t>
    </w:r>
  </w:p>
  <w:p w14:paraId="127BC186"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3"/>
  <w:p w14:paraId="30BBDDBD" w14:textId="77777777" w:rsidR="00494263" w:rsidRPr="00084C0C"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p>
  <w:p w14:paraId="6D270E1A" w14:textId="4A708E25" w:rsidR="00494263" w:rsidRPr="00580696" w:rsidRDefault="00494263" w:rsidP="00580696">
    <w:pPr>
      <w:pStyle w:val="Footer"/>
      <w:framePr w:wrap="around" w:vAnchor="text" w:hAnchor="margin" w:xAlign="right" w:y="1"/>
      <w:rPr>
        <w:lang w:val="ro-MD"/>
      </w:rPr>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70866"/>
      <w:docPartObj>
        <w:docPartGallery w:val="Page Numbers (Bottom of Page)"/>
        <w:docPartUnique/>
      </w:docPartObj>
    </w:sdtPr>
    <w:sdtEndPr>
      <w:rPr>
        <w:noProof/>
      </w:rPr>
    </w:sdtEndPr>
    <w:sdtContent>
      <w:p w14:paraId="31DDA841" w14:textId="59F5F3F0" w:rsidR="00580696" w:rsidRDefault="005806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B9BF7" w14:textId="77777777" w:rsidR="00494263" w:rsidRDefault="00494263" w:rsidP="005F3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C56F" w14:textId="77777777" w:rsidR="00E65703" w:rsidRDefault="00E65703" w:rsidP="00525701">
      <w:r>
        <w:separator/>
      </w:r>
    </w:p>
  </w:footnote>
  <w:footnote w:type="continuationSeparator" w:id="0">
    <w:p w14:paraId="1E1B9BE2" w14:textId="77777777" w:rsidR="00E65703" w:rsidRDefault="00E65703"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F6" w14:textId="77777777" w:rsidR="00494263" w:rsidRDefault="00494263" w:rsidP="00525701">
    <w:pPr>
      <w:pStyle w:val="Header"/>
      <w:jc w:val="right"/>
    </w:pPr>
    <w:bookmarkStart w:id="1" w:name="TITUS1HeaderEvenPages"/>
    <w:r>
      <w:t xml:space="preserve"> </w:t>
    </w:r>
  </w:p>
  <w:bookmarkEnd w:id="1"/>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E51" w14:textId="77777777" w:rsidR="00494263" w:rsidRDefault="00494263" w:rsidP="00525701">
    <w:pPr>
      <w:pStyle w:val="Header"/>
      <w:jc w:val="right"/>
    </w:pPr>
    <w:bookmarkStart w:id="2" w:name="TITUS1HeaderPrimary"/>
    <w:r>
      <w:t xml:space="preserve"> </w:t>
    </w:r>
  </w:p>
  <w:bookmarkEnd w:id="2"/>
  <w:p w14:paraId="7E223774" w14:textId="77777777" w:rsidR="00494263" w:rsidRDefault="0049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25116AF"/>
    <w:multiLevelType w:val="hybridMultilevel"/>
    <w:tmpl w:val="E002427A"/>
    <w:lvl w:ilvl="0" w:tplc="0818000F">
      <w:start w:val="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4282E59"/>
    <w:multiLevelType w:val="hybridMultilevel"/>
    <w:tmpl w:val="047C6CCC"/>
    <w:lvl w:ilvl="0" w:tplc="0818000F">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A5D65"/>
    <w:multiLevelType w:val="hybridMultilevel"/>
    <w:tmpl w:val="877AE5F4"/>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32F71"/>
    <w:multiLevelType w:val="hybridMultilevel"/>
    <w:tmpl w:val="877AE5F4"/>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39D027B0"/>
    <w:multiLevelType w:val="hybridMultilevel"/>
    <w:tmpl w:val="C248C286"/>
    <w:lvl w:ilvl="0" w:tplc="0818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6A46550"/>
    <w:multiLevelType w:val="hybridMultilevel"/>
    <w:tmpl w:val="877AE5F4"/>
    <w:lvl w:ilvl="0" w:tplc="690ECA82">
      <w:start w:val="1"/>
      <w:numFmt w:val="decimal"/>
      <w:lvlText w:val="%1."/>
      <w:lvlJc w:val="left"/>
      <w:pPr>
        <w:ind w:left="720" w:hanging="360"/>
      </w:pPr>
      <w:rPr>
        <w:rFonts w:ascii="Times New Roman" w:hAnsi="Times New Roman" w:cs="Times New Roman" w:hint="default"/>
        <w:b w:val="0"/>
        <w:bCs/>
      </w:rPr>
    </w:lvl>
    <w:lvl w:ilvl="1" w:tplc="91306EC4">
      <w:start w:val="1"/>
      <w:numFmt w:val="decimal"/>
      <w:lvlText w:val="%2)"/>
      <w:lvlJc w:val="left"/>
      <w:pPr>
        <w:ind w:left="1440" w:hanging="360"/>
      </w:pPr>
      <w:rPr>
        <w:rFonts w:hint="default"/>
      </w:rPr>
    </w:lvl>
    <w:lvl w:ilvl="2" w:tplc="BEDC7B26">
      <w:start w:val="1"/>
      <w:numFmt w:val="lowerLetter"/>
      <w:lvlText w:val="%3)"/>
      <w:lvlJc w:val="left"/>
      <w:pPr>
        <w:ind w:left="2340" w:hanging="360"/>
      </w:pPr>
      <w:rPr>
        <w:rFonts w:hint="default"/>
      </w:rPr>
    </w:lvl>
    <w:lvl w:ilvl="3" w:tplc="E956342A">
      <w:start w:val="8"/>
      <w:numFmt w:val="bullet"/>
      <w:lvlText w:val="-"/>
      <w:lvlJc w:val="left"/>
      <w:pPr>
        <w:ind w:left="2880" w:hanging="360"/>
      </w:pPr>
      <w:rPr>
        <w:rFonts w:ascii="Times New Roman" w:eastAsiaTheme="minorHAnsi" w:hAnsi="Times New Roman" w:cs="Times New Roman"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7AE90A2A"/>
    <w:multiLevelType w:val="multilevel"/>
    <w:tmpl w:val="47C4C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90885044">
    <w:abstractNumId w:val="24"/>
  </w:num>
  <w:num w:numId="2" w16cid:durableId="1281303259">
    <w:abstractNumId w:val="4"/>
  </w:num>
  <w:num w:numId="3" w16cid:durableId="2111655017">
    <w:abstractNumId w:val="11"/>
  </w:num>
  <w:num w:numId="4" w16cid:durableId="221985756">
    <w:abstractNumId w:val="13"/>
  </w:num>
  <w:num w:numId="5" w16cid:durableId="1562212201">
    <w:abstractNumId w:val="9"/>
  </w:num>
  <w:num w:numId="6" w16cid:durableId="1918401064">
    <w:abstractNumId w:val="23"/>
  </w:num>
  <w:num w:numId="7" w16cid:durableId="2075425383">
    <w:abstractNumId w:val="21"/>
  </w:num>
  <w:num w:numId="8" w16cid:durableId="1466115833">
    <w:abstractNumId w:val="20"/>
  </w:num>
  <w:num w:numId="9" w16cid:durableId="1720474486">
    <w:abstractNumId w:val="31"/>
  </w:num>
  <w:num w:numId="10" w16cid:durableId="65225206">
    <w:abstractNumId w:val="10"/>
  </w:num>
  <w:num w:numId="11" w16cid:durableId="491340404">
    <w:abstractNumId w:val="32"/>
  </w:num>
  <w:num w:numId="12" w16cid:durableId="184750809">
    <w:abstractNumId w:val="5"/>
  </w:num>
  <w:num w:numId="13" w16cid:durableId="1764256060">
    <w:abstractNumId w:val="16"/>
  </w:num>
  <w:num w:numId="14" w16cid:durableId="224682862">
    <w:abstractNumId w:val="6"/>
  </w:num>
  <w:num w:numId="15" w16cid:durableId="510031345">
    <w:abstractNumId w:val="8"/>
  </w:num>
  <w:num w:numId="16" w16cid:durableId="1006981231">
    <w:abstractNumId w:val="22"/>
  </w:num>
  <w:num w:numId="17" w16cid:durableId="1926382253">
    <w:abstractNumId w:val="27"/>
  </w:num>
  <w:num w:numId="18" w16cid:durableId="1241713063">
    <w:abstractNumId w:val="26"/>
  </w:num>
  <w:num w:numId="19" w16cid:durableId="1439905714">
    <w:abstractNumId w:val="29"/>
  </w:num>
  <w:num w:numId="20" w16cid:durableId="543374166">
    <w:abstractNumId w:val="3"/>
  </w:num>
  <w:num w:numId="21" w16cid:durableId="976297114">
    <w:abstractNumId w:val="17"/>
  </w:num>
  <w:num w:numId="22" w16cid:durableId="593055656">
    <w:abstractNumId w:val="25"/>
  </w:num>
  <w:num w:numId="23" w16cid:durableId="630792302">
    <w:abstractNumId w:val="0"/>
  </w:num>
  <w:num w:numId="24" w16cid:durableId="1337079218">
    <w:abstractNumId w:val="30"/>
  </w:num>
  <w:num w:numId="25" w16cid:durableId="520241099">
    <w:abstractNumId w:val="12"/>
  </w:num>
  <w:num w:numId="26" w16cid:durableId="1684744183">
    <w:abstractNumId w:val="19"/>
  </w:num>
  <w:num w:numId="27" w16cid:durableId="1415207291">
    <w:abstractNumId w:val="7"/>
  </w:num>
  <w:num w:numId="28" w16cid:durableId="1847402393">
    <w:abstractNumId w:val="28"/>
  </w:num>
  <w:num w:numId="29" w16cid:durableId="1170215710">
    <w:abstractNumId w:val="18"/>
  </w:num>
  <w:num w:numId="30" w16cid:durableId="175770609">
    <w:abstractNumId w:val="33"/>
  </w:num>
  <w:num w:numId="31" w16cid:durableId="1110012038">
    <w:abstractNumId w:val="15"/>
  </w:num>
  <w:num w:numId="32" w16cid:durableId="586695346">
    <w:abstractNumId w:val="1"/>
  </w:num>
  <w:num w:numId="33" w16cid:durableId="158617725">
    <w:abstractNumId w:val="2"/>
  </w:num>
  <w:num w:numId="34" w16cid:durableId="121723221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73"/>
    <w:rsid w:val="00001D9C"/>
    <w:rsid w:val="00002413"/>
    <w:rsid w:val="00003AF8"/>
    <w:rsid w:val="00010D81"/>
    <w:rsid w:val="000158D2"/>
    <w:rsid w:val="00015F07"/>
    <w:rsid w:val="00016ADF"/>
    <w:rsid w:val="0001798B"/>
    <w:rsid w:val="00024F5D"/>
    <w:rsid w:val="0002546B"/>
    <w:rsid w:val="00025A92"/>
    <w:rsid w:val="00030776"/>
    <w:rsid w:val="000335E0"/>
    <w:rsid w:val="000453F8"/>
    <w:rsid w:val="000473F3"/>
    <w:rsid w:val="00051B9A"/>
    <w:rsid w:val="000520BC"/>
    <w:rsid w:val="00052F52"/>
    <w:rsid w:val="00052FA0"/>
    <w:rsid w:val="0005447A"/>
    <w:rsid w:val="00060B1B"/>
    <w:rsid w:val="00067C06"/>
    <w:rsid w:val="00071539"/>
    <w:rsid w:val="00071E67"/>
    <w:rsid w:val="00074E4C"/>
    <w:rsid w:val="00075388"/>
    <w:rsid w:val="0007705C"/>
    <w:rsid w:val="000835E1"/>
    <w:rsid w:val="000850A5"/>
    <w:rsid w:val="000876C4"/>
    <w:rsid w:val="00096474"/>
    <w:rsid w:val="000A29BF"/>
    <w:rsid w:val="000A3B3F"/>
    <w:rsid w:val="000A5A50"/>
    <w:rsid w:val="000A5F47"/>
    <w:rsid w:val="000B234D"/>
    <w:rsid w:val="000C4B5C"/>
    <w:rsid w:val="000D1910"/>
    <w:rsid w:val="000D1A25"/>
    <w:rsid w:val="000D35FB"/>
    <w:rsid w:val="000D3919"/>
    <w:rsid w:val="000D761E"/>
    <w:rsid w:val="000D7CA1"/>
    <w:rsid w:val="000E24D6"/>
    <w:rsid w:val="000E329A"/>
    <w:rsid w:val="000E6D95"/>
    <w:rsid w:val="000F1893"/>
    <w:rsid w:val="000F19A0"/>
    <w:rsid w:val="000F25BB"/>
    <w:rsid w:val="000F50DE"/>
    <w:rsid w:val="00100467"/>
    <w:rsid w:val="001015FD"/>
    <w:rsid w:val="001018B3"/>
    <w:rsid w:val="001117A8"/>
    <w:rsid w:val="00114F17"/>
    <w:rsid w:val="00117FF8"/>
    <w:rsid w:val="00130EEF"/>
    <w:rsid w:val="00134814"/>
    <w:rsid w:val="00136C35"/>
    <w:rsid w:val="001373DE"/>
    <w:rsid w:val="00140596"/>
    <w:rsid w:val="00141A4D"/>
    <w:rsid w:val="00142B82"/>
    <w:rsid w:val="001432F6"/>
    <w:rsid w:val="00143DF7"/>
    <w:rsid w:val="00147A76"/>
    <w:rsid w:val="001531F1"/>
    <w:rsid w:val="00154C01"/>
    <w:rsid w:val="00155A7F"/>
    <w:rsid w:val="00155E00"/>
    <w:rsid w:val="0015608E"/>
    <w:rsid w:val="00157FF4"/>
    <w:rsid w:val="00163F5B"/>
    <w:rsid w:val="001640E9"/>
    <w:rsid w:val="00170808"/>
    <w:rsid w:val="00171800"/>
    <w:rsid w:val="001731ED"/>
    <w:rsid w:val="00175747"/>
    <w:rsid w:val="00175883"/>
    <w:rsid w:val="00180CC3"/>
    <w:rsid w:val="001830C7"/>
    <w:rsid w:val="00190B87"/>
    <w:rsid w:val="00191F99"/>
    <w:rsid w:val="00191FA2"/>
    <w:rsid w:val="001A1FB8"/>
    <w:rsid w:val="001A4DE8"/>
    <w:rsid w:val="001B1C01"/>
    <w:rsid w:val="001B281D"/>
    <w:rsid w:val="001B2C74"/>
    <w:rsid w:val="001B4C1F"/>
    <w:rsid w:val="001B680B"/>
    <w:rsid w:val="001B73D6"/>
    <w:rsid w:val="001C246D"/>
    <w:rsid w:val="001C69FC"/>
    <w:rsid w:val="001D7229"/>
    <w:rsid w:val="001D728A"/>
    <w:rsid w:val="001D72F3"/>
    <w:rsid w:val="001F02C8"/>
    <w:rsid w:val="001F5296"/>
    <w:rsid w:val="001F5A07"/>
    <w:rsid w:val="001F65BA"/>
    <w:rsid w:val="001F6AF5"/>
    <w:rsid w:val="002038FD"/>
    <w:rsid w:val="00207FD9"/>
    <w:rsid w:val="002112B2"/>
    <w:rsid w:val="00216EAF"/>
    <w:rsid w:val="00221B89"/>
    <w:rsid w:val="00222AAD"/>
    <w:rsid w:val="00225B07"/>
    <w:rsid w:val="00226B2A"/>
    <w:rsid w:val="00231F49"/>
    <w:rsid w:val="002321CD"/>
    <w:rsid w:val="0023610D"/>
    <w:rsid w:val="0024642E"/>
    <w:rsid w:val="00247DEC"/>
    <w:rsid w:val="00260EFD"/>
    <w:rsid w:val="00272561"/>
    <w:rsid w:val="002737F5"/>
    <w:rsid w:val="00273C2C"/>
    <w:rsid w:val="00273D6E"/>
    <w:rsid w:val="00274506"/>
    <w:rsid w:val="00274BD4"/>
    <w:rsid w:val="00283894"/>
    <w:rsid w:val="00283B2F"/>
    <w:rsid w:val="00284EC0"/>
    <w:rsid w:val="00286BFD"/>
    <w:rsid w:val="002874AE"/>
    <w:rsid w:val="00287961"/>
    <w:rsid w:val="00290406"/>
    <w:rsid w:val="00290DDA"/>
    <w:rsid w:val="0029210A"/>
    <w:rsid w:val="00292CEF"/>
    <w:rsid w:val="00293EEC"/>
    <w:rsid w:val="002A0E3F"/>
    <w:rsid w:val="002A2E6B"/>
    <w:rsid w:val="002A34C7"/>
    <w:rsid w:val="002A4007"/>
    <w:rsid w:val="002A7B53"/>
    <w:rsid w:val="002B2FD9"/>
    <w:rsid w:val="002B630E"/>
    <w:rsid w:val="002B7D11"/>
    <w:rsid w:val="002C24E3"/>
    <w:rsid w:val="002C4B00"/>
    <w:rsid w:val="002D0141"/>
    <w:rsid w:val="002D3C92"/>
    <w:rsid w:val="002D6B17"/>
    <w:rsid w:val="002E144D"/>
    <w:rsid w:val="002E23E7"/>
    <w:rsid w:val="002E7BD3"/>
    <w:rsid w:val="002F281A"/>
    <w:rsid w:val="002F30E6"/>
    <w:rsid w:val="002F5029"/>
    <w:rsid w:val="002F59CB"/>
    <w:rsid w:val="0030064B"/>
    <w:rsid w:val="00304DDE"/>
    <w:rsid w:val="00306BFA"/>
    <w:rsid w:val="003251A4"/>
    <w:rsid w:val="00326AB9"/>
    <w:rsid w:val="00333386"/>
    <w:rsid w:val="003343BA"/>
    <w:rsid w:val="00335B75"/>
    <w:rsid w:val="003409C8"/>
    <w:rsid w:val="0034174A"/>
    <w:rsid w:val="00343A8F"/>
    <w:rsid w:val="00344056"/>
    <w:rsid w:val="00344B19"/>
    <w:rsid w:val="003501FF"/>
    <w:rsid w:val="0035372B"/>
    <w:rsid w:val="00353CAE"/>
    <w:rsid w:val="00355332"/>
    <w:rsid w:val="00355BF7"/>
    <w:rsid w:val="00362849"/>
    <w:rsid w:val="00365609"/>
    <w:rsid w:val="0037189C"/>
    <w:rsid w:val="00383F39"/>
    <w:rsid w:val="00385569"/>
    <w:rsid w:val="0038769D"/>
    <w:rsid w:val="00391A95"/>
    <w:rsid w:val="00393189"/>
    <w:rsid w:val="00395FFC"/>
    <w:rsid w:val="003A16A0"/>
    <w:rsid w:val="003A2E98"/>
    <w:rsid w:val="003A350E"/>
    <w:rsid w:val="003A6590"/>
    <w:rsid w:val="003A7277"/>
    <w:rsid w:val="003B14E9"/>
    <w:rsid w:val="003B467C"/>
    <w:rsid w:val="003B5C50"/>
    <w:rsid w:val="003B66CA"/>
    <w:rsid w:val="003B74E7"/>
    <w:rsid w:val="003B786B"/>
    <w:rsid w:val="003C0E44"/>
    <w:rsid w:val="003C52CB"/>
    <w:rsid w:val="003C6504"/>
    <w:rsid w:val="003D25F0"/>
    <w:rsid w:val="003D574A"/>
    <w:rsid w:val="003E0287"/>
    <w:rsid w:val="003E1903"/>
    <w:rsid w:val="003E22F7"/>
    <w:rsid w:val="003E7AAE"/>
    <w:rsid w:val="003F402C"/>
    <w:rsid w:val="003F486D"/>
    <w:rsid w:val="003F5B3C"/>
    <w:rsid w:val="00401777"/>
    <w:rsid w:val="00411085"/>
    <w:rsid w:val="004114BC"/>
    <w:rsid w:val="004139C2"/>
    <w:rsid w:val="00414194"/>
    <w:rsid w:val="00415A32"/>
    <w:rsid w:val="00417DF0"/>
    <w:rsid w:val="004251A1"/>
    <w:rsid w:val="004256FB"/>
    <w:rsid w:val="00426B6A"/>
    <w:rsid w:val="0043016A"/>
    <w:rsid w:val="00433910"/>
    <w:rsid w:val="00433F10"/>
    <w:rsid w:val="00434040"/>
    <w:rsid w:val="00436512"/>
    <w:rsid w:val="00437156"/>
    <w:rsid w:val="00440B8E"/>
    <w:rsid w:val="0044423F"/>
    <w:rsid w:val="00447DF9"/>
    <w:rsid w:val="004554A7"/>
    <w:rsid w:val="00460FD0"/>
    <w:rsid w:val="00462A87"/>
    <w:rsid w:val="00463AF3"/>
    <w:rsid w:val="004642C3"/>
    <w:rsid w:val="0046466E"/>
    <w:rsid w:val="004646E0"/>
    <w:rsid w:val="004651DF"/>
    <w:rsid w:val="004663E3"/>
    <w:rsid w:val="00473066"/>
    <w:rsid w:val="00473E33"/>
    <w:rsid w:val="0048260B"/>
    <w:rsid w:val="004832AC"/>
    <w:rsid w:val="00483371"/>
    <w:rsid w:val="00486DD1"/>
    <w:rsid w:val="0049096A"/>
    <w:rsid w:val="004918A3"/>
    <w:rsid w:val="00493520"/>
    <w:rsid w:val="00493B24"/>
    <w:rsid w:val="00493E4B"/>
    <w:rsid w:val="00494263"/>
    <w:rsid w:val="004A26A6"/>
    <w:rsid w:val="004B10F3"/>
    <w:rsid w:val="004B277F"/>
    <w:rsid w:val="004B3CF9"/>
    <w:rsid w:val="004B63BB"/>
    <w:rsid w:val="004B655A"/>
    <w:rsid w:val="004B68E0"/>
    <w:rsid w:val="004B7DDD"/>
    <w:rsid w:val="004C56E7"/>
    <w:rsid w:val="004D13A2"/>
    <w:rsid w:val="004D1AE5"/>
    <w:rsid w:val="004D207A"/>
    <w:rsid w:val="004D5D23"/>
    <w:rsid w:val="004E24F8"/>
    <w:rsid w:val="004E328B"/>
    <w:rsid w:val="00500B86"/>
    <w:rsid w:val="005064AE"/>
    <w:rsid w:val="0051151B"/>
    <w:rsid w:val="00514C33"/>
    <w:rsid w:val="00520E50"/>
    <w:rsid w:val="0052222B"/>
    <w:rsid w:val="00523874"/>
    <w:rsid w:val="005248DD"/>
    <w:rsid w:val="0052508A"/>
    <w:rsid w:val="00525701"/>
    <w:rsid w:val="00527217"/>
    <w:rsid w:val="00531CD6"/>
    <w:rsid w:val="00534345"/>
    <w:rsid w:val="00535527"/>
    <w:rsid w:val="00536A18"/>
    <w:rsid w:val="00536C54"/>
    <w:rsid w:val="00537105"/>
    <w:rsid w:val="00543997"/>
    <w:rsid w:val="005442AD"/>
    <w:rsid w:val="005442CA"/>
    <w:rsid w:val="00551FC3"/>
    <w:rsid w:val="00557186"/>
    <w:rsid w:val="00562F8E"/>
    <w:rsid w:val="0056508D"/>
    <w:rsid w:val="005665A7"/>
    <w:rsid w:val="00566AE0"/>
    <w:rsid w:val="005705BD"/>
    <w:rsid w:val="00571C2C"/>
    <w:rsid w:val="00572336"/>
    <w:rsid w:val="005726BC"/>
    <w:rsid w:val="005736A5"/>
    <w:rsid w:val="0057535D"/>
    <w:rsid w:val="005760C6"/>
    <w:rsid w:val="00580428"/>
    <w:rsid w:val="00580696"/>
    <w:rsid w:val="00582D07"/>
    <w:rsid w:val="005832F1"/>
    <w:rsid w:val="00592C8A"/>
    <w:rsid w:val="00597143"/>
    <w:rsid w:val="005A16C7"/>
    <w:rsid w:val="005A331E"/>
    <w:rsid w:val="005A33C6"/>
    <w:rsid w:val="005B071D"/>
    <w:rsid w:val="005B0854"/>
    <w:rsid w:val="005B1E41"/>
    <w:rsid w:val="005B2691"/>
    <w:rsid w:val="005B2ECE"/>
    <w:rsid w:val="005B573D"/>
    <w:rsid w:val="005C0FC4"/>
    <w:rsid w:val="005C16D2"/>
    <w:rsid w:val="005C1753"/>
    <w:rsid w:val="005C212B"/>
    <w:rsid w:val="005C26D0"/>
    <w:rsid w:val="005D0749"/>
    <w:rsid w:val="005D353E"/>
    <w:rsid w:val="005D47BC"/>
    <w:rsid w:val="005D4FCE"/>
    <w:rsid w:val="005D754D"/>
    <w:rsid w:val="005D7E14"/>
    <w:rsid w:val="005E02AD"/>
    <w:rsid w:val="005F1AC6"/>
    <w:rsid w:val="005F3A73"/>
    <w:rsid w:val="005F5B40"/>
    <w:rsid w:val="00601307"/>
    <w:rsid w:val="0060316F"/>
    <w:rsid w:val="00603294"/>
    <w:rsid w:val="00604EF1"/>
    <w:rsid w:val="0060551D"/>
    <w:rsid w:val="0061243E"/>
    <w:rsid w:val="0061332B"/>
    <w:rsid w:val="006162E3"/>
    <w:rsid w:val="00622402"/>
    <w:rsid w:val="00630FC2"/>
    <w:rsid w:val="006315F5"/>
    <w:rsid w:val="00631B13"/>
    <w:rsid w:val="00632557"/>
    <w:rsid w:val="006330D9"/>
    <w:rsid w:val="00633EC7"/>
    <w:rsid w:val="00634D1D"/>
    <w:rsid w:val="006359A5"/>
    <w:rsid w:val="00635D39"/>
    <w:rsid w:val="00641B57"/>
    <w:rsid w:val="0064379E"/>
    <w:rsid w:val="00643E3E"/>
    <w:rsid w:val="00643F80"/>
    <w:rsid w:val="0065218C"/>
    <w:rsid w:val="00655D26"/>
    <w:rsid w:val="00657DA7"/>
    <w:rsid w:val="00667816"/>
    <w:rsid w:val="006708CE"/>
    <w:rsid w:val="00673801"/>
    <w:rsid w:val="00675F66"/>
    <w:rsid w:val="00676ADA"/>
    <w:rsid w:val="00676F18"/>
    <w:rsid w:val="00690FCC"/>
    <w:rsid w:val="00691EF3"/>
    <w:rsid w:val="0069358D"/>
    <w:rsid w:val="00694EE2"/>
    <w:rsid w:val="006951EC"/>
    <w:rsid w:val="006A762F"/>
    <w:rsid w:val="006B094C"/>
    <w:rsid w:val="006B1661"/>
    <w:rsid w:val="006B330A"/>
    <w:rsid w:val="006B33D2"/>
    <w:rsid w:val="006B47BA"/>
    <w:rsid w:val="006B649F"/>
    <w:rsid w:val="006C1B67"/>
    <w:rsid w:val="006C2256"/>
    <w:rsid w:val="006C2AFA"/>
    <w:rsid w:val="006C3D5C"/>
    <w:rsid w:val="006D28B5"/>
    <w:rsid w:val="006D3679"/>
    <w:rsid w:val="006D3C0B"/>
    <w:rsid w:val="006D7611"/>
    <w:rsid w:val="006E4C80"/>
    <w:rsid w:val="006E643D"/>
    <w:rsid w:val="006E7199"/>
    <w:rsid w:val="006F00B8"/>
    <w:rsid w:val="006F34BF"/>
    <w:rsid w:val="006F5219"/>
    <w:rsid w:val="006F7952"/>
    <w:rsid w:val="007004E4"/>
    <w:rsid w:val="007006A2"/>
    <w:rsid w:val="00703E16"/>
    <w:rsid w:val="007041A7"/>
    <w:rsid w:val="00704724"/>
    <w:rsid w:val="00707266"/>
    <w:rsid w:val="007110D4"/>
    <w:rsid w:val="007133C1"/>
    <w:rsid w:val="00715A0E"/>
    <w:rsid w:val="00720245"/>
    <w:rsid w:val="00721DC2"/>
    <w:rsid w:val="00726A49"/>
    <w:rsid w:val="00726B2D"/>
    <w:rsid w:val="007316C3"/>
    <w:rsid w:val="0073676A"/>
    <w:rsid w:val="007471EF"/>
    <w:rsid w:val="00747AC2"/>
    <w:rsid w:val="00750212"/>
    <w:rsid w:val="00750494"/>
    <w:rsid w:val="00752E26"/>
    <w:rsid w:val="007538EA"/>
    <w:rsid w:val="00753AFD"/>
    <w:rsid w:val="00755D83"/>
    <w:rsid w:val="00757978"/>
    <w:rsid w:val="00757F5A"/>
    <w:rsid w:val="0076289C"/>
    <w:rsid w:val="007628EF"/>
    <w:rsid w:val="007761CB"/>
    <w:rsid w:val="00776C7C"/>
    <w:rsid w:val="007779EA"/>
    <w:rsid w:val="00780AF5"/>
    <w:rsid w:val="0079064E"/>
    <w:rsid w:val="00790854"/>
    <w:rsid w:val="007910DD"/>
    <w:rsid w:val="00793494"/>
    <w:rsid w:val="00793EE1"/>
    <w:rsid w:val="00794DBD"/>
    <w:rsid w:val="007A081B"/>
    <w:rsid w:val="007A0B54"/>
    <w:rsid w:val="007A1BC5"/>
    <w:rsid w:val="007A20FD"/>
    <w:rsid w:val="007A3D23"/>
    <w:rsid w:val="007A3DB2"/>
    <w:rsid w:val="007A4337"/>
    <w:rsid w:val="007A57D6"/>
    <w:rsid w:val="007B1192"/>
    <w:rsid w:val="007B14D9"/>
    <w:rsid w:val="007B564C"/>
    <w:rsid w:val="007C687D"/>
    <w:rsid w:val="007C7951"/>
    <w:rsid w:val="007E4E9E"/>
    <w:rsid w:val="007F3499"/>
    <w:rsid w:val="007F3A2B"/>
    <w:rsid w:val="007F47E2"/>
    <w:rsid w:val="00800969"/>
    <w:rsid w:val="00800FFC"/>
    <w:rsid w:val="0080142B"/>
    <w:rsid w:val="00805F71"/>
    <w:rsid w:val="00806EB5"/>
    <w:rsid w:val="00811CEA"/>
    <w:rsid w:val="008163A7"/>
    <w:rsid w:val="00820B0A"/>
    <w:rsid w:val="008231F0"/>
    <w:rsid w:val="008247F9"/>
    <w:rsid w:val="008339BB"/>
    <w:rsid w:val="00833F7C"/>
    <w:rsid w:val="00834B74"/>
    <w:rsid w:val="00837BFE"/>
    <w:rsid w:val="008441C5"/>
    <w:rsid w:val="0084486F"/>
    <w:rsid w:val="008452A2"/>
    <w:rsid w:val="0085208E"/>
    <w:rsid w:val="00852CEE"/>
    <w:rsid w:val="00852E92"/>
    <w:rsid w:val="00857D50"/>
    <w:rsid w:val="0086484D"/>
    <w:rsid w:val="00876062"/>
    <w:rsid w:val="0087660B"/>
    <w:rsid w:val="008774C1"/>
    <w:rsid w:val="00880327"/>
    <w:rsid w:val="0088389F"/>
    <w:rsid w:val="00885D93"/>
    <w:rsid w:val="00890C7C"/>
    <w:rsid w:val="00892150"/>
    <w:rsid w:val="00895020"/>
    <w:rsid w:val="008A1A95"/>
    <w:rsid w:val="008A2D6D"/>
    <w:rsid w:val="008A2F85"/>
    <w:rsid w:val="008A6F6C"/>
    <w:rsid w:val="008B2D5D"/>
    <w:rsid w:val="008B4EBA"/>
    <w:rsid w:val="008B6702"/>
    <w:rsid w:val="008B6B86"/>
    <w:rsid w:val="008C322C"/>
    <w:rsid w:val="008C4817"/>
    <w:rsid w:val="008C673E"/>
    <w:rsid w:val="008C7ED8"/>
    <w:rsid w:val="008D02C1"/>
    <w:rsid w:val="008D1014"/>
    <w:rsid w:val="008D1BF3"/>
    <w:rsid w:val="008D22EE"/>
    <w:rsid w:val="008D5BB4"/>
    <w:rsid w:val="008D7F28"/>
    <w:rsid w:val="008E002B"/>
    <w:rsid w:val="008E282D"/>
    <w:rsid w:val="008F0CCD"/>
    <w:rsid w:val="008F1030"/>
    <w:rsid w:val="008F20A0"/>
    <w:rsid w:val="008F4A7D"/>
    <w:rsid w:val="008F4AE9"/>
    <w:rsid w:val="008F5163"/>
    <w:rsid w:val="008F6172"/>
    <w:rsid w:val="008F7F12"/>
    <w:rsid w:val="0090397D"/>
    <w:rsid w:val="0091054F"/>
    <w:rsid w:val="009117EA"/>
    <w:rsid w:val="00923320"/>
    <w:rsid w:val="00927289"/>
    <w:rsid w:val="00930407"/>
    <w:rsid w:val="009356D7"/>
    <w:rsid w:val="0093615D"/>
    <w:rsid w:val="0093681A"/>
    <w:rsid w:val="0094579F"/>
    <w:rsid w:val="00945873"/>
    <w:rsid w:val="00945B36"/>
    <w:rsid w:val="009507AE"/>
    <w:rsid w:val="00955F93"/>
    <w:rsid w:val="00965FBC"/>
    <w:rsid w:val="00970C0E"/>
    <w:rsid w:val="00976963"/>
    <w:rsid w:val="00993C2D"/>
    <w:rsid w:val="009A3CD5"/>
    <w:rsid w:val="009A7894"/>
    <w:rsid w:val="009A7CF4"/>
    <w:rsid w:val="009B3A7F"/>
    <w:rsid w:val="009B4A85"/>
    <w:rsid w:val="009B64E9"/>
    <w:rsid w:val="009C4EAD"/>
    <w:rsid w:val="009C7033"/>
    <w:rsid w:val="009C72AC"/>
    <w:rsid w:val="009D06EC"/>
    <w:rsid w:val="009E0264"/>
    <w:rsid w:val="009E0906"/>
    <w:rsid w:val="009E142A"/>
    <w:rsid w:val="009E22E2"/>
    <w:rsid w:val="009E6B87"/>
    <w:rsid w:val="009E6DDE"/>
    <w:rsid w:val="009E7064"/>
    <w:rsid w:val="009E7856"/>
    <w:rsid w:val="009E789F"/>
    <w:rsid w:val="009F5549"/>
    <w:rsid w:val="009F6CB8"/>
    <w:rsid w:val="00A02580"/>
    <w:rsid w:val="00A039C8"/>
    <w:rsid w:val="00A07DF5"/>
    <w:rsid w:val="00A10596"/>
    <w:rsid w:val="00A15662"/>
    <w:rsid w:val="00A175FD"/>
    <w:rsid w:val="00A205F7"/>
    <w:rsid w:val="00A2123C"/>
    <w:rsid w:val="00A221F8"/>
    <w:rsid w:val="00A23052"/>
    <w:rsid w:val="00A25439"/>
    <w:rsid w:val="00A256DB"/>
    <w:rsid w:val="00A319E1"/>
    <w:rsid w:val="00A41355"/>
    <w:rsid w:val="00A45067"/>
    <w:rsid w:val="00A509EE"/>
    <w:rsid w:val="00A55FA4"/>
    <w:rsid w:val="00A63884"/>
    <w:rsid w:val="00A64198"/>
    <w:rsid w:val="00A664C0"/>
    <w:rsid w:val="00A70A3E"/>
    <w:rsid w:val="00A73010"/>
    <w:rsid w:val="00A75BB6"/>
    <w:rsid w:val="00A76A65"/>
    <w:rsid w:val="00A77BB5"/>
    <w:rsid w:val="00A836D4"/>
    <w:rsid w:val="00A85493"/>
    <w:rsid w:val="00A8566D"/>
    <w:rsid w:val="00A94F1E"/>
    <w:rsid w:val="00A97FAA"/>
    <w:rsid w:val="00AA1549"/>
    <w:rsid w:val="00AB0C1C"/>
    <w:rsid w:val="00AB1449"/>
    <w:rsid w:val="00AB5952"/>
    <w:rsid w:val="00AB5BB4"/>
    <w:rsid w:val="00AC2607"/>
    <w:rsid w:val="00AC5276"/>
    <w:rsid w:val="00AC6EDB"/>
    <w:rsid w:val="00AD1A65"/>
    <w:rsid w:val="00AE0751"/>
    <w:rsid w:val="00AE2643"/>
    <w:rsid w:val="00AE3D98"/>
    <w:rsid w:val="00AE3F89"/>
    <w:rsid w:val="00AE4669"/>
    <w:rsid w:val="00AF0201"/>
    <w:rsid w:val="00AF048F"/>
    <w:rsid w:val="00AF1160"/>
    <w:rsid w:val="00AF58F9"/>
    <w:rsid w:val="00AF701D"/>
    <w:rsid w:val="00B009FC"/>
    <w:rsid w:val="00B020C7"/>
    <w:rsid w:val="00B02A55"/>
    <w:rsid w:val="00B02D46"/>
    <w:rsid w:val="00B0686E"/>
    <w:rsid w:val="00B123E5"/>
    <w:rsid w:val="00B15249"/>
    <w:rsid w:val="00B2032C"/>
    <w:rsid w:val="00B20C8C"/>
    <w:rsid w:val="00B31BD6"/>
    <w:rsid w:val="00B32EDF"/>
    <w:rsid w:val="00B33863"/>
    <w:rsid w:val="00B40AF5"/>
    <w:rsid w:val="00B41DC9"/>
    <w:rsid w:val="00B43029"/>
    <w:rsid w:val="00B44FE3"/>
    <w:rsid w:val="00B51CC1"/>
    <w:rsid w:val="00B52837"/>
    <w:rsid w:val="00B5508E"/>
    <w:rsid w:val="00B55131"/>
    <w:rsid w:val="00B606C5"/>
    <w:rsid w:val="00B61078"/>
    <w:rsid w:val="00B62E56"/>
    <w:rsid w:val="00B634FF"/>
    <w:rsid w:val="00B67C56"/>
    <w:rsid w:val="00B70F9E"/>
    <w:rsid w:val="00B71442"/>
    <w:rsid w:val="00B7257B"/>
    <w:rsid w:val="00B76E7C"/>
    <w:rsid w:val="00B8028B"/>
    <w:rsid w:val="00B81AAF"/>
    <w:rsid w:val="00B8613A"/>
    <w:rsid w:val="00B87429"/>
    <w:rsid w:val="00B87837"/>
    <w:rsid w:val="00B93467"/>
    <w:rsid w:val="00B93C1C"/>
    <w:rsid w:val="00BA1A4C"/>
    <w:rsid w:val="00BA2C2E"/>
    <w:rsid w:val="00BA776E"/>
    <w:rsid w:val="00BA7B3D"/>
    <w:rsid w:val="00BB0BD3"/>
    <w:rsid w:val="00BB1AB7"/>
    <w:rsid w:val="00BB297A"/>
    <w:rsid w:val="00BB4169"/>
    <w:rsid w:val="00BB65D4"/>
    <w:rsid w:val="00BB6991"/>
    <w:rsid w:val="00BB6D4C"/>
    <w:rsid w:val="00BC4A1F"/>
    <w:rsid w:val="00BC6D66"/>
    <w:rsid w:val="00BD2C17"/>
    <w:rsid w:val="00BD6835"/>
    <w:rsid w:val="00BD773B"/>
    <w:rsid w:val="00BE28D9"/>
    <w:rsid w:val="00BE33CD"/>
    <w:rsid w:val="00BF2708"/>
    <w:rsid w:val="00BF62F0"/>
    <w:rsid w:val="00BF6BFA"/>
    <w:rsid w:val="00C0042D"/>
    <w:rsid w:val="00C03FFC"/>
    <w:rsid w:val="00C04764"/>
    <w:rsid w:val="00C05B83"/>
    <w:rsid w:val="00C06A8C"/>
    <w:rsid w:val="00C07C55"/>
    <w:rsid w:val="00C100F8"/>
    <w:rsid w:val="00C11CD1"/>
    <w:rsid w:val="00C15678"/>
    <w:rsid w:val="00C168FA"/>
    <w:rsid w:val="00C24B0E"/>
    <w:rsid w:val="00C250B6"/>
    <w:rsid w:val="00C26A4B"/>
    <w:rsid w:val="00C2776A"/>
    <w:rsid w:val="00C30735"/>
    <w:rsid w:val="00C32A0E"/>
    <w:rsid w:val="00C343F5"/>
    <w:rsid w:val="00C36BF3"/>
    <w:rsid w:val="00C3709E"/>
    <w:rsid w:val="00C450A1"/>
    <w:rsid w:val="00C46623"/>
    <w:rsid w:val="00C51731"/>
    <w:rsid w:val="00C52FC7"/>
    <w:rsid w:val="00C5551E"/>
    <w:rsid w:val="00C556FF"/>
    <w:rsid w:val="00C61EED"/>
    <w:rsid w:val="00C7058D"/>
    <w:rsid w:val="00C746A8"/>
    <w:rsid w:val="00C86AF2"/>
    <w:rsid w:val="00C91850"/>
    <w:rsid w:val="00C957F1"/>
    <w:rsid w:val="00CA1B43"/>
    <w:rsid w:val="00CA4F69"/>
    <w:rsid w:val="00CA54C9"/>
    <w:rsid w:val="00CA5654"/>
    <w:rsid w:val="00CA5D29"/>
    <w:rsid w:val="00CA6CDC"/>
    <w:rsid w:val="00CB1B13"/>
    <w:rsid w:val="00CB74E2"/>
    <w:rsid w:val="00CB76C6"/>
    <w:rsid w:val="00CB7DAD"/>
    <w:rsid w:val="00CC0669"/>
    <w:rsid w:val="00CC06C1"/>
    <w:rsid w:val="00CC3AD8"/>
    <w:rsid w:val="00CC4651"/>
    <w:rsid w:val="00CC518E"/>
    <w:rsid w:val="00CC5E8E"/>
    <w:rsid w:val="00CD067C"/>
    <w:rsid w:val="00CE699F"/>
    <w:rsid w:val="00CF03D9"/>
    <w:rsid w:val="00CF0BC0"/>
    <w:rsid w:val="00CF317F"/>
    <w:rsid w:val="00D047A3"/>
    <w:rsid w:val="00D0505B"/>
    <w:rsid w:val="00D12694"/>
    <w:rsid w:val="00D20542"/>
    <w:rsid w:val="00D20A7D"/>
    <w:rsid w:val="00D2227B"/>
    <w:rsid w:val="00D27281"/>
    <w:rsid w:val="00D27321"/>
    <w:rsid w:val="00D27703"/>
    <w:rsid w:val="00D3131C"/>
    <w:rsid w:val="00D32535"/>
    <w:rsid w:val="00D32ED2"/>
    <w:rsid w:val="00D3369B"/>
    <w:rsid w:val="00D338C2"/>
    <w:rsid w:val="00D345BE"/>
    <w:rsid w:val="00D3512F"/>
    <w:rsid w:val="00D35BF7"/>
    <w:rsid w:val="00D40B18"/>
    <w:rsid w:val="00D44481"/>
    <w:rsid w:val="00D448B2"/>
    <w:rsid w:val="00D46FA3"/>
    <w:rsid w:val="00D51650"/>
    <w:rsid w:val="00D51993"/>
    <w:rsid w:val="00D53454"/>
    <w:rsid w:val="00D55CE9"/>
    <w:rsid w:val="00D60DB7"/>
    <w:rsid w:val="00D660E5"/>
    <w:rsid w:val="00D72BB5"/>
    <w:rsid w:val="00D7332F"/>
    <w:rsid w:val="00D7463D"/>
    <w:rsid w:val="00D74B44"/>
    <w:rsid w:val="00D91908"/>
    <w:rsid w:val="00DA1687"/>
    <w:rsid w:val="00DA2C4E"/>
    <w:rsid w:val="00DA58FE"/>
    <w:rsid w:val="00DB4557"/>
    <w:rsid w:val="00DB5AA7"/>
    <w:rsid w:val="00DB794C"/>
    <w:rsid w:val="00DC0510"/>
    <w:rsid w:val="00DC15D8"/>
    <w:rsid w:val="00DC39EF"/>
    <w:rsid w:val="00DC3F6B"/>
    <w:rsid w:val="00DC5378"/>
    <w:rsid w:val="00DC68B0"/>
    <w:rsid w:val="00DC71C2"/>
    <w:rsid w:val="00DC7867"/>
    <w:rsid w:val="00DD32DC"/>
    <w:rsid w:val="00DD3347"/>
    <w:rsid w:val="00DD7F8C"/>
    <w:rsid w:val="00DE1309"/>
    <w:rsid w:val="00DE176B"/>
    <w:rsid w:val="00DE4E20"/>
    <w:rsid w:val="00DE6B37"/>
    <w:rsid w:val="00DF075A"/>
    <w:rsid w:val="00DF4069"/>
    <w:rsid w:val="00DF52A9"/>
    <w:rsid w:val="00DF60F4"/>
    <w:rsid w:val="00E0286A"/>
    <w:rsid w:val="00E04F44"/>
    <w:rsid w:val="00E05B5C"/>
    <w:rsid w:val="00E1136B"/>
    <w:rsid w:val="00E11E52"/>
    <w:rsid w:val="00E14AF2"/>
    <w:rsid w:val="00E15328"/>
    <w:rsid w:val="00E15BA4"/>
    <w:rsid w:val="00E1613D"/>
    <w:rsid w:val="00E17F25"/>
    <w:rsid w:val="00E2144B"/>
    <w:rsid w:val="00E22DF7"/>
    <w:rsid w:val="00E25358"/>
    <w:rsid w:val="00E256A7"/>
    <w:rsid w:val="00E3002F"/>
    <w:rsid w:val="00E30982"/>
    <w:rsid w:val="00E36801"/>
    <w:rsid w:val="00E46451"/>
    <w:rsid w:val="00E538FD"/>
    <w:rsid w:val="00E5655A"/>
    <w:rsid w:val="00E57169"/>
    <w:rsid w:val="00E64792"/>
    <w:rsid w:val="00E65470"/>
    <w:rsid w:val="00E65703"/>
    <w:rsid w:val="00E6689E"/>
    <w:rsid w:val="00E70D0E"/>
    <w:rsid w:val="00E71657"/>
    <w:rsid w:val="00E71814"/>
    <w:rsid w:val="00E7237C"/>
    <w:rsid w:val="00E725CD"/>
    <w:rsid w:val="00E746C4"/>
    <w:rsid w:val="00E74891"/>
    <w:rsid w:val="00E74EC4"/>
    <w:rsid w:val="00E760E5"/>
    <w:rsid w:val="00E80231"/>
    <w:rsid w:val="00E8669B"/>
    <w:rsid w:val="00E87412"/>
    <w:rsid w:val="00E92C81"/>
    <w:rsid w:val="00E954CD"/>
    <w:rsid w:val="00EA3006"/>
    <w:rsid w:val="00EA6955"/>
    <w:rsid w:val="00EB4C48"/>
    <w:rsid w:val="00EC2284"/>
    <w:rsid w:val="00EC4384"/>
    <w:rsid w:val="00EC52D7"/>
    <w:rsid w:val="00EC5913"/>
    <w:rsid w:val="00ED072E"/>
    <w:rsid w:val="00ED11E2"/>
    <w:rsid w:val="00ED4AB0"/>
    <w:rsid w:val="00EE1333"/>
    <w:rsid w:val="00EE3354"/>
    <w:rsid w:val="00EE3409"/>
    <w:rsid w:val="00EE4374"/>
    <w:rsid w:val="00EE5F91"/>
    <w:rsid w:val="00EF33ED"/>
    <w:rsid w:val="00EF4509"/>
    <w:rsid w:val="00EF4D00"/>
    <w:rsid w:val="00EF583B"/>
    <w:rsid w:val="00EF79F4"/>
    <w:rsid w:val="00F02B6D"/>
    <w:rsid w:val="00F04856"/>
    <w:rsid w:val="00F14401"/>
    <w:rsid w:val="00F2385A"/>
    <w:rsid w:val="00F25354"/>
    <w:rsid w:val="00F3161B"/>
    <w:rsid w:val="00F35F38"/>
    <w:rsid w:val="00F35FD8"/>
    <w:rsid w:val="00F36FE7"/>
    <w:rsid w:val="00F403DD"/>
    <w:rsid w:val="00F470F5"/>
    <w:rsid w:val="00F476E1"/>
    <w:rsid w:val="00F5116F"/>
    <w:rsid w:val="00F53042"/>
    <w:rsid w:val="00F53315"/>
    <w:rsid w:val="00F53980"/>
    <w:rsid w:val="00F55A6C"/>
    <w:rsid w:val="00F55BFF"/>
    <w:rsid w:val="00F56A9F"/>
    <w:rsid w:val="00F61174"/>
    <w:rsid w:val="00F64246"/>
    <w:rsid w:val="00F75D4E"/>
    <w:rsid w:val="00F808E9"/>
    <w:rsid w:val="00F83F1C"/>
    <w:rsid w:val="00F84AA3"/>
    <w:rsid w:val="00F85B96"/>
    <w:rsid w:val="00F8686A"/>
    <w:rsid w:val="00F94EE1"/>
    <w:rsid w:val="00FA13BC"/>
    <w:rsid w:val="00FA16E9"/>
    <w:rsid w:val="00FA70E9"/>
    <w:rsid w:val="00FB49B6"/>
    <w:rsid w:val="00FC3917"/>
    <w:rsid w:val="00FC39D6"/>
    <w:rsid w:val="00FC6E82"/>
    <w:rsid w:val="00FC7557"/>
    <w:rsid w:val="00FC7FEA"/>
    <w:rsid w:val="00FD1218"/>
    <w:rsid w:val="00FD1EB7"/>
    <w:rsid w:val="00FD2518"/>
    <w:rsid w:val="00FD5282"/>
    <w:rsid w:val="00FE0026"/>
    <w:rsid w:val="00FE3B3E"/>
    <w:rsid w:val="00FE3C8B"/>
    <w:rsid w:val="00FE40F7"/>
    <w:rsid w:val="00FE6833"/>
    <w:rsid w:val="00FE6D42"/>
    <w:rsid w:val="00FF091F"/>
    <w:rsid w:val="00FF2F52"/>
    <w:rsid w:val="00FF54D1"/>
    <w:rsid w:val="00FF6294"/>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7DF"/>
  <w15:docId w15:val="{096BC564-4F12-4A50-A586-CF15F9A8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7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F3A73"/>
    <w:pPr>
      <w:tabs>
        <w:tab w:val="center" w:pos="4677"/>
        <w:tab w:val="right" w:pos="9355"/>
      </w:tabs>
    </w:pPr>
  </w:style>
  <w:style w:type="character" w:customStyle="1" w:styleId="FooterChar">
    <w:name w:val="Footer Char"/>
    <w:basedOn w:val="DefaultParagraphFont"/>
    <w:link w:val="Footer"/>
    <w:uiPriority w:val="99"/>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uiPriority w:val="99"/>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643F80"/>
    <w:rPr>
      <w:color w:val="605E5C"/>
      <w:shd w:val="clear" w:color="auto" w:fill="E1DFDD"/>
    </w:rPr>
  </w:style>
  <w:style w:type="character" w:customStyle="1" w:styleId="no-parag">
    <w:name w:val="no-parag"/>
    <w:basedOn w:val="DefaultParagraphFont"/>
    <w:rsid w:val="00694EE2"/>
  </w:style>
  <w:style w:type="paragraph" w:customStyle="1" w:styleId="List2">
    <w:name w:val="List2"/>
    <w:basedOn w:val="Normal"/>
    <w:rsid w:val="005C26D0"/>
    <w:pPr>
      <w:spacing w:before="100" w:beforeAutospacing="1" w:after="100" w:afterAutospacing="1"/>
    </w:pPr>
    <w:rPr>
      <w:lang w:val="ro-MD" w:eastAsia="ro-MD"/>
    </w:rPr>
  </w:style>
  <w:style w:type="paragraph" w:customStyle="1" w:styleId="Normal3">
    <w:name w:val="Normal3"/>
    <w:basedOn w:val="Normal"/>
    <w:rsid w:val="005C26D0"/>
    <w:pPr>
      <w:spacing w:before="100" w:beforeAutospacing="1" w:after="100" w:afterAutospacing="1"/>
    </w:pPr>
    <w:rPr>
      <w:lang w:val="ro-MD" w:eastAsia="ro-MD"/>
    </w:rPr>
  </w:style>
  <w:style w:type="character" w:customStyle="1" w:styleId="boldface">
    <w:name w:val="boldface"/>
    <w:basedOn w:val="DefaultParagraphFont"/>
    <w:rsid w:val="0075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7639">
      <w:bodyDiv w:val="1"/>
      <w:marLeft w:val="0"/>
      <w:marRight w:val="0"/>
      <w:marTop w:val="0"/>
      <w:marBottom w:val="0"/>
      <w:divBdr>
        <w:top w:val="none" w:sz="0" w:space="0" w:color="auto"/>
        <w:left w:val="none" w:sz="0" w:space="0" w:color="auto"/>
        <w:bottom w:val="none" w:sz="0" w:space="0" w:color="auto"/>
        <w:right w:val="none" w:sz="0" w:space="0" w:color="auto"/>
      </w:divBdr>
    </w:div>
    <w:div w:id="450780900">
      <w:bodyDiv w:val="1"/>
      <w:marLeft w:val="0"/>
      <w:marRight w:val="0"/>
      <w:marTop w:val="0"/>
      <w:marBottom w:val="0"/>
      <w:divBdr>
        <w:top w:val="none" w:sz="0" w:space="0" w:color="auto"/>
        <w:left w:val="none" w:sz="0" w:space="0" w:color="auto"/>
        <w:bottom w:val="none" w:sz="0" w:space="0" w:color="auto"/>
        <w:right w:val="none" w:sz="0" w:space="0" w:color="auto"/>
      </w:divBdr>
    </w:div>
    <w:div w:id="520165397">
      <w:bodyDiv w:val="1"/>
      <w:marLeft w:val="0"/>
      <w:marRight w:val="0"/>
      <w:marTop w:val="0"/>
      <w:marBottom w:val="0"/>
      <w:divBdr>
        <w:top w:val="none" w:sz="0" w:space="0" w:color="auto"/>
        <w:left w:val="none" w:sz="0" w:space="0" w:color="auto"/>
        <w:bottom w:val="none" w:sz="0" w:space="0" w:color="auto"/>
        <w:right w:val="none" w:sz="0" w:space="0" w:color="auto"/>
      </w:divBdr>
      <w:divsChild>
        <w:div w:id="1674261742">
          <w:marLeft w:val="0"/>
          <w:marRight w:val="0"/>
          <w:marTop w:val="0"/>
          <w:marBottom w:val="0"/>
          <w:divBdr>
            <w:top w:val="none" w:sz="0" w:space="0" w:color="auto"/>
            <w:left w:val="none" w:sz="0" w:space="0" w:color="auto"/>
            <w:bottom w:val="none" w:sz="0" w:space="0" w:color="auto"/>
            <w:right w:val="none" w:sz="0" w:space="0" w:color="auto"/>
          </w:divBdr>
        </w:div>
      </w:divsChild>
    </w:div>
    <w:div w:id="654921358">
      <w:bodyDiv w:val="1"/>
      <w:marLeft w:val="0"/>
      <w:marRight w:val="0"/>
      <w:marTop w:val="0"/>
      <w:marBottom w:val="0"/>
      <w:divBdr>
        <w:top w:val="none" w:sz="0" w:space="0" w:color="auto"/>
        <w:left w:val="none" w:sz="0" w:space="0" w:color="auto"/>
        <w:bottom w:val="none" w:sz="0" w:space="0" w:color="auto"/>
        <w:right w:val="none" w:sz="0" w:space="0" w:color="auto"/>
      </w:divBdr>
      <w:divsChild>
        <w:div w:id="1259101634">
          <w:marLeft w:val="0"/>
          <w:marRight w:val="0"/>
          <w:marTop w:val="0"/>
          <w:marBottom w:val="0"/>
          <w:divBdr>
            <w:top w:val="none" w:sz="0" w:space="0" w:color="auto"/>
            <w:left w:val="none" w:sz="0" w:space="0" w:color="auto"/>
            <w:bottom w:val="none" w:sz="0" w:space="0" w:color="auto"/>
            <w:right w:val="none" w:sz="0" w:space="0" w:color="auto"/>
          </w:divBdr>
        </w:div>
        <w:div w:id="517430613">
          <w:marLeft w:val="0"/>
          <w:marRight w:val="0"/>
          <w:marTop w:val="0"/>
          <w:marBottom w:val="0"/>
          <w:divBdr>
            <w:top w:val="none" w:sz="0" w:space="0" w:color="auto"/>
            <w:left w:val="none" w:sz="0" w:space="0" w:color="auto"/>
            <w:bottom w:val="none" w:sz="0" w:space="0" w:color="auto"/>
            <w:right w:val="none" w:sz="0" w:space="0" w:color="auto"/>
          </w:divBdr>
          <w:divsChild>
            <w:div w:id="1878926798">
              <w:marLeft w:val="0"/>
              <w:marRight w:val="0"/>
              <w:marTop w:val="120"/>
              <w:marBottom w:val="0"/>
              <w:divBdr>
                <w:top w:val="none" w:sz="0" w:space="0" w:color="auto"/>
                <w:left w:val="none" w:sz="0" w:space="0" w:color="auto"/>
                <w:bottom w:val="none" w:sz="0" w:space="0" w:color="auto"/>
                <w:right w:val="none" w:sz="0" w:space="0" w:color="auto"/>
              </w:divBdr>
            </w:div>
            <w:div w:id="1665694639">
              <w:marLeft w:val="0"/>
              <w:marRight w:val="0"/>
              <w:marTop w:val="0"/>
              <w:marBottom w:val="0"/>
              <w:divBdr>
                <w:top w:val="none" w:sz="0" w:space="0" w:color="auto"/>
                <w:left w:val="none" w:sz="0" w:space="0" w:color="auto"/>
                <w:bottom w:val="none" w:sz="0" w:space="0" w:color="auto"/>
                <w:right w:val="none" w:sz="0" w:space="0" w:color="auto"/>
              </w:divBdr>
            </w:div>
          </w:divsChild>
        </w:div>
        <w:div w:id="581451708">
          <w:marLeft w:val="0"/>
          <w:marRight w:val="0"/>
          <w:marTop w:val="0"/>
          <w:marBottom w:val="0"/>
          <w:divBdr>
            <w:top w:val="none" w:sz="0" w:space="0" w:color="auto"/>
            <w:left w:val="none" w:sz="0" w:space="0" w:color="auto"/>
            <w:bottom w:val="none" w:sz="0" w:space="0" w:color="auto"/>
            <w:right w:val="none" w:sz="0" w:space="0" w:color="auto"/>
          </w:divBdr>
          <w:divsChild>
            <w:div w:id="1019743355">
              <w:marLeft w:val="0"/>
              <w:marRight w:val="0"/>
              <w:marTop w:val="120"/>
              <w:marBottom w:val="0"/>
              <w:divBdr>
                <w:top w:val="none" w:sz="0" w:space="0" w:color="auto"/>
                <w:left w:val="none" w:sz="0" w:space="0" w:color="auto"/>
                <w:bottom w:val="none" w:sz="0" w:space="0" w:color="auto"/>
                <w:right w:val="none" w:sz="0" w:space="0" w:color="auto"/>
              </w:divBdr>
            </w:div>
            <w:div w:id="1144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21357">
      <w:bodyDiv w:val="1"/>
      <w:marLeft w:val="0"/>
      <w:marRight w:val="0"/>
      <w:marTop w:val="0"/>
      <w:marBottom w:val="0"/>
      <w:divBdr>
        <w:top w:val="none" w:sz="0" w:space="0" w:color="auto"/>
        <w:left w:val="none" w:sz="0" w:space="0" w:color="auto"/>
        <w:bottom w:val="none" w:sz="0" w:space="0" w:color="auto"/>
        <w:right w:val="none" w:sz="0" w:space="0" w:color="auto"/>
      </w:divBdr>
      <w:divsChild>
        <w:div w:id="1891574320">
          <w:marLeft w:val="0"/>
          <w:marRight w:val="0"/>
          <w:marTop w:val="0"/>
          <w:marBottom w:val="0"/>
          <w:divBdr>
            <w:top w:val="none" w:sz="0" w:space="0" w:color="auto"/>
            <w:left w:val="none" w:sz="0" w:space="0" w:color="auto"/>
            <w:bottom w:val="none" w:sz="0" w:space="0" w:color="auto"/>
            <w:right w:val="none" w:sz="0" w:space="0" w:color="auto"/>
          </w:divBdr>
          <w:divsChild>
            <w:div w:id="639532356">
              <w:marLeft w:val="0"/>
              <w:marRight w:val="0"/>
              <w:marTop w:val="0"/>
              <w:marBottom w:val="0"/>
              <w:divBdr>
                <w:top w:val="none" w:sz="0" w:space="0" w:color="auto"/>
                <w:left w:val="none" w:sz="0" w:space="0" w:color="auto"/>
                <w:bottom w:val="none" w:sz="0" w:space="0" w:color="auto"/>
                <w:right w:val="none" w:sz="0" w:space="0" w:color="auto"/>
              </w:divBdr>
              <w:divsChild>
                <w:div w:id="1346324546">
                  <w:marLeft w:val="0"/>
                  <w:marRight w:val="0"/>
                  <w:marTop w:val="0"/>
                  <w:marBottom w:val="0"/>
                  <w:divBdr>
                    <w:top w:val="none" w:sz="0" w:space="0" w:color="auto"/>
                    <w:left w:val="none" w:sz="0" w:space="0" w:color="auto"/>
                    <w:bottom w:val="none" w:sz="0" w:space="0" w:color="auto"/>
                    <w:right w:val="none" w:sz="0" w:space="0" w:color="auto"/>
                  </w:divBdr>
                </w:div>
              </w:divsChild>
            </w:div>
            <w:div w:id="1329943020">
              <w:marLeft w:val="0"/>
              <w:marRight w:val="0"/>
              <w:marTop w:val="0"/>
              <w:marBottom w:val="0"/>
              <w:divBdr>
                <w:top w:val="none" w:sz="0" w:space="0" w:color="auto"/>
                <w:left w:val="none" w:sz="0" w:space="0" w:color="auto"/>
                <w:bottom w:val="none" w:sz="0" w:space="0" w:color="auto"/>
                <w:right w:val="none" w:sz="0" w:space="0" w:color="auto"/>
              </w:divBdr>
              <w:divsChild>
                <w:div w:id="1084961437">
                  <w:marLeft w:val="0"/>
                  <w:marRight w:val="0"/>
                  <w:marTop w:val="0"/>
                  <w:marBottom w:val="0"/>
                  <w:divBdr>
                    <w:top w:val="none" w:sz="0" w:space="0" w:color="auto"/>
                    <w:left w:val="none" w:sz="0" w:space="0" w:color="auto"/>
                    <w:bottom w:val="none" w:sz="0" w:space="0" w:color="auto"/>
                    <w:right w:val="none" w:sz="0" w:space="0" w:color="auto"/>
                  </w:divBdr>
                </w:div>
              </w:divsChild>
            </w:div>
            <w:div w:id="16848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78462">
      <w:bodyDiv w:val="1"/>
      <w:marLeft w:val="0"/>
      <w:marRight w:val="0"/>
      <w:marTop w:val="0"/>
      <w:marBottom w:val="0"/>
      <w:divBdr>
        <w:top w:val="none" w:sz="0" w:space="0" w:color="auto"/>
        <w:left w:val="none" w:sz="0" w:space="0" w:color="auto"/>
        <w:bottom w:val="none" w:sz="0" w:space="0" w:color="auto"/>
        <w:right w:val="none" w:sz="0" w:space="0" w:color="auto"/>
      </w:divBdr>
      <w:divsChild>
        <w:div w:id="939141770">
          <w:marLeft w:val="0"/>
          <w:marRight w:val="0"/>
          <w:marTop w:val="0"/>
          <w:marBottom w:val="0"/>
          <w:divBdr>
            <w:top w:val="none" w:sz="0" w:space="0" w:color="auto"/>
            <w:left w:val="none" w:sz="0" w:space="0" w:color="auto"/>
            <w:bottom w:val="none" w:sz="0" w:space="0" w:color="auto"/>
            <w:right w:val="none" w:sz="0" w:space="0" w:color="auto"/>
          </w:divBdr>
        </w:div>
        <w:div w:id="1501581780">
          <w:marLeft w:val="0"/>
          <w:marRight w:val="0"/>
          <w:marTop w:val="0"/>
          <w:marBottom w:val="0"/>
          <w:divBdr>
            <w:top w:val="none" w:sz="0" w:space="0" w:color="auto"/>
            <w:left w:val="none" w:sz="0" w:space="0" w:color="auto"/>
            <w:bottom w:val="none" w:sz="0" w:space="0" w:color="auto"/>
            <w:right w:val="none" w:sz="0" w:space="0" w:color="auto"/>
          </w:divBdr>
          <w:divsChild>
            <w:div w:id="2064211230">
              <w:marLeft w:val="0"/>
              <w:marRight w:val="0"/>
              <w:marTop w:val="0"/>
              <w:marBottom w:val="0"/>
              <w:divBdr>
                <w:top w:val="none" w:sz="0" w:space="0" w:color="auto"/>
                <w:left w:val="none" w:sz="0" w:space="0" w:color="auto"/>
                <w:bottom w:val="none" w:sz="0" w:space="0" w:color="auto"/>
                <w:right w:val="none" w:sz="0" w:space="0" w:color="auto"/>
              </w:divBdr>
              <w:divsChild>
                <w:div w:id="580025653">
                  <w:marLeft w:val="0"/>
                  <w:marRight w:val="0"/>
                  <w:marTop w:val="0"/>
                  <w:marBottom w:val="0"/>
                  <w:divBdr>
                    <w:top w:val="none" w:sz="0" w:space="0" w:color="auto"/>
                    <w:left w:val="none" w:sz="0" w:space="0" w:color="auto"/>
                    <w:bottom w:val="none" w:sz="0" w:space="0" w:color="auto"/>
                    <w:right w:val="none" w:sz="0" w:space="0" w:color="auto"/>
                  </w:divBdr>
                  <w:divsChild>
                    <w:div w:id="19940961">
                      <w:marLeft w:val="0"/>
                      <w:marRight w:val="0"/>
                      <w:marTop w:val="120"/>
                      <w:marBottom w:val="0"/>
                      <w:divBdr>
                        <w:top w:val="none" w:sz="0" w:space="0" w:color="auto"/>
                        <w:left w:val="none" w:sz="0" w:space="0" w:color="auto"/>
                        <w:bottom w:val="none" w:sz="0" w:space="0" w:color="auto"/>
                        <w:right w:val="none" w:sz="0" w:space="0" w:color="auto"/>
                      </w:divBdr>
                    </w:div>
                    <w:div w:id="232859545">
                      <w:marLeft w:val="0"/>
                      <w:marRight w:val="0"/>
                      <w:marTop w:val="0"/>
                      <w:marBottom w:val="0"/>
                      <w:divBdr>
                        <w:top w:val="none" w:sz="0" w:space="0" w:color="auto"/>
                        <w:left w:val="none" w:sz="0" w:space="0" w:color="auto"/>
                        <w:bottom w:val="none" w:sz="0" w:space="0" w:color="auto"/>
                        <w:right w:val="none" w:sz="0" w:space="0" w:color="auto"/>
                      </w:divBdr>
                    </w:div>
                  </w:divsChild>
                </w:div>
                <w:div w:id="1831365286">
                  <w:marLeft w:val="0"/>
                  <w:marRight w:val="0"/>
                  <w:marTop w:val="0"/>
                  <w:marBottom w:val="0"/>
                  <w:divBdr>
                    <w:top w:val="none" w:sz="0" w:space="0" w:color="auto"/>
                    <w:left w:val="none" w:sz="0" w:space="0" w:color="auto"/>
                    <w:bottom w:val="none" w:sz="0" w:space="0" w:color="auto"/>
                    <w:right w:val="none" w:sz="0" w:space="0" w:color="auto"/>
                  </w:divBdr>
                  <w:divsChild>
                    <w:div w:id="223100427">
                      <w:marLeft w:val="0"/>
                      <w:marRight w:val="0"/>
                      <w:marTop w:val="120"/>
                      <w:marBottom w:val="0"/>
                      <w:divBdr>
                        <w:top w:val="none" w:sz="0" w:space="0" w:color="auto"/>
                        <w:left w:val="none" w:sz="0" w:space="0" w:color="auto"/>
                        <w:bottom w:val="none" w:sz="0" w:space="0" w:color="auto"/>
                        <w:right w:val="none" w:sz="0" w:space="0" w:color="auto"/>
                      </w:divBdr>
                    </w:div>
                    <w:div w:id="9586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9781">
          <w:marLeft w:val="0"/>
          <w:marRight w:val="0"/>
          <w:marTop w:val="0"/>
          <w:marBottom w:val="0"/>
          <w:divBdr>
            <w:top w:val="none" w:sz="0" w:space="0" w:color="auto"/>
            <w:left w:val="none" w:sz="0" w:space="0" w:color="auto"/>
            <w:bottom w:val="none" w:sz="0" w:space="0" w:color="auto"/>
            <w:right w:val="none" w:sz="0" w:space="0" w:color="auto"/>
          </w:divBdr>
          <w:divsChild>
            <w:div w:id="160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8904">
      <w:bodyDiv w:val="1"/>
      <w:marLeft w:val="0"/>
      <w:marRight w:val="0"/>
      <w:marTop w:val="0"/>
      <w:marBottom w:val="0"/>
      <w:divBdr>
        <w:top w:val="none" w:sz="0" w:space="0" w:color="auto"/>
        <w:left w:val="none" w:sz="0" w:space="0" w:color="auto"/>
        <w:bottom w:val="none" w:sz="0" w:space="0" w:color="auto"/>
        <w:right w:val="none" w:sz="0" w:space="0" w:color="auto"/>
      </w:divBdr>
      <w:divsChild>
        <w:div w:id="135684077">
          <w:marLeft w:val="0"/>
          <w:marRight w:val="0"/>
          <w:marTop w:val="0"/>
          <w:marBottom w:val="0"/>
          <w:divBdr>
            <w:top w:val="none" w:sz="0" w:space="0" w:color="auto"/>
            <w:left w:val="none" w:sz="0" w:space="0" w:color="auto"/>
            <w:bottom w:val="none" w:sz="0" w:space="0" w:color="auto"/>
            <w:right w:val="none" w:sz="0" w:space="0" w:color="auto"/>
          </w:divBdr>
          <w:divsChild>
            <w:div w:id="1698507402">
              <w:marLeft w:val="0"/>
              <w:marRight w:val="0"/>
              <w:marTop w:val="0"/>
              <w:marBottom w:val="0"/>
              <w:divBdr>
                <w:top w:val="none" w:sz="0" w:space="0" w:color="auto"/>
                <w:left w:val="none" w:sz="0" w:space="0" w:color="auto"/>
                <w:bottom w:val="none" w:sz="0" w:space="0" w:color="auto"/>
                <w:right w:val="none" w:sz="0" w:space="0" w:color="auto"/>
              </w:divBdr>
              <w:divsChild>
                <w:div w:id="227500572">
                  <w:marLeft w:val="0"/>
                  <w:marRight w:val="0"/>
                  <w:marTop w:val="0"/>
                  <w:marBottom w:val="0"/>
                  <w:divBdr>
                    <w:top w:val="none" w:sz="0" w:space="0" w:color="auto"/>
                    <w:left w:val="none" w:sz="0" w:space="0" w:color="auto"/>
                    <w:bottom w:val="none" w:sz="0" w:space="0" w:color="auto"/>
                    <w:right w:val="none" w:sz="0" w:space="0" w:color="auto"/>
                  </w:divBdr>
                  <w:divsChild>
                    <w:div w:id="787435349">
                      <w:marLeft w:val="0"/>
                      <w:marRight w:val="0"/>
                      <w:marTop w:val="0"/>
                      <w:marBottom w:val="0"/>
                      <w:divBdr>
                        <w:top w:val="none" w:sz="0" w:space="0" w:color="auto"/>
                        <w:left w:val="none" w:sz="0" w:space="0" w:color="auto"/>
                        <w:bottom w:val="none" w:sz="0" w:space="0" w:color="auto"/>
                        <w:right w:val="none" w:sz="0" w:space="0" w:color="auto"/>
                      </w:divBdr>
                    </w:div>
                    <w:div w:id="1100250592">
                      <w:marLeft w:val="0"/>
                      <w:marRight w:val="0"/>
                      <w:marTop w:val="120"/>
                      <w:marBottom w:val="0"/>
                      <w:divBdr>
                        <w:top w:val="none" w:sz="0" w:space="0" w:color="auto"/>
                        <w:left w:val="none" w:sz="0" w:space="0" w:color="auto"/>
                        <w:bottom w:val="none" w:sz="0" w:space="0" w:color="auto"/>
                        <w:right w:val="none" w:sz="0" w:space="0" w:color="auto"/>
                      </w:divBdr>
                    </w:div>
                  </w:divsChild>
                </w:div>
                <w:div w:id="532227208">
                  <w:marLeft w:val="0"/>
                  <w:marRight w:val="0"/>
                  <w:marTop w:val="0"/>
                  <w:marBottom w:val="0"/>
                  <w:divBdr>
                    <w:top w:val="none" w:sz="0" w:space="0" w:color="auto"/>
                    <w:left w:val="none" w:sz="0" w:space="0" w:color="auto"/>
                    <w:bottom w:val="none" w:sz="0" w:space="0" w:color="auto"/>
                    <w:right w:val="none" w:sz="0" w:space="0" w:color="auto"/>
                  </w:divBdr>
                  <w:divsChild>
                    <w:div w:id="152377308">
                      <w:marLeft w:val="0"/>
                      <w:marRight w:val="0"/>
                      <w:marTop w:val="120"/>
                      <w:marBottom w:val="0"/>
                      <w:divBdr>
                        <w:top w:val="none" w:sz="0" w:space="0" w:color="auto"/>
                        <w:left w:val="none" w:sz="0" w:space="0" w:color="auto"/>
                        <w:bottom w:val="none" w:sz="0" w:space="0" w:color="auto"/>
                        <w:right w:val="none" w:sz="0" w:space="0" w:color="auto"/>
                      </w:divBdr>
                    </w:div>
                    <w:div w:id="1826816524">
                      <w:marLeft w:val="0"/>
                      <w:marRight w:val="0"/>
                      <w:marTop w:val="0"/>
                      <w:marBottom w:val="0"/>
                      <w:divBdr>
                        <w:top w:val="none" w:sz="0" w:space="0" w:color="auto"/>
                        <w:left w:val="none" w:sz="0" w:space="0" w:color="auto"/>
                        <w:bottom w:val="none" w:sz="0" w:space="0" w:color="auto"/>
                        <w:right w:val="none" w:sz="0" w:space="0" w:color="auto"/>
                      </w:divBdr>
                    </w:div>
                  </w:divsChild>
                </w:div>
                <w:div w:id="1113205742">
                  <w:marLeft w:val="0"/>
                  <w:marRight w:val="0"/>
                  <w:marTop w:val="0"/>
                  <w:marBottom w:val="0"/>
                  <w:divBdr>
                    <w:top w:val="none" w:sz="0" w:space="0" w:color="auto"/>
                    <w:left w:val="none" w:sz="0" w:space="0" w:color="auto"/>
                    <w:bottom w:val="none" w:sz="0" w:space="0" w:color="auto"/>
                    <w:right w:val="none" w:sz="0" w:space="0" w:color="auto"/>
                  </w:divBdr>
                  <w:divsChild>
                    <w:div w:id="789975690">
                      <w:marLeft w:val="0"/>
                      <w:marRight w:val="0"/>
                      <w:marTop w:val="120"/>
                      <w:marBottom w:val="0"/>
                      <w:divBdr>
                        <w:top w:val="none" w:sz="0" w:space="0" w:color="auto"/>
                        <w:left w:val="none" w:sz="0" w:space="0" w:color="auto"/>
                        <w:bottom w:val="none" w:sz="0" w:space="0" w:color="auto"/>
                        <w:right w:val="none" w:sz="0" w:space="0" w:color="auto"/>
                      </w:divBdr>
                    </w:div>
                    <w:div w:id="933435098">
                      <w:marLeft w:val="0"/>
                      <w:marRight w:val="0"/>
                      <w:marTop w:val="0"/>
                      <w:marBottom w:val="0"/>
                      <w:divBdr>
                        <w:top w:val="none" w:sz="0" w:space="0" w:color="auto"/>
                        <w:left w:val="none" w:sz="0" w:space="0" w:color="auto"/>
                        <w:bottom w:val="none" w:sz="0" w:space="0" w:color="auto"/>
                        <w:right w:val="none" w:sz="0" w:space="0" w:color="auto"/>
                      </w:divBdr>
                    </w:div>
                  </w:divsChild>
                </w:div>
                <w:div w:id="1176462525">
                  <w:marLeft w:val="0"/>
                  <w:marRight w:val="0"/>
                  <w:marTop w:val="0"/>
                  <w:marBottom w:val="0"/>
                  <w:divBdr>
                    <w:top w:val="none" w:sz="0" w:space="0" w:color="auto"/>
                    <w:left w:val="none" w:sz="0" w:space="0" w:color="auto"/>
                    <w:bottom w:val="none" w:sz="0" w:space="0" w:color="auto"/>
                    <w:right w:val="none" w:sz="0" w:space="0" w:color="auto"/>
                  </w:divBdr>
                  <w:divsChild>
                    <w:div w:id="470051452">
                      <w:marLeft w:val="0"/>
                      <w:marRight w:val="0"/>
                      <w:marTop w:val="0"/>
                      <w:marBottom w:val="0"/>
                      <w:divBdr>
                        <w:top w:val="none" w:sz="0" w:space="0" w:color="auto"/>
                        <w:left w:val="none" w:sz="0" w:space="0" w:color="auto"/>
                        <w:bottom w:val="none" w:sz="0" w:space="0" w:color="auto"/>
                        <w:right w:val="none" w:sz="0" w:space="0" w:color="auto"/>
                      </w:divBdr>
                      <w:divsChild>
                        <w:div w:id="238753423">
                          <w:marLeft w:val="0"/>
                          <w:marRight w:val="0"/>
                          <w:marTop w:val="120"/>
                          <w:marBottom w:val="0"/>
                          <w:divBdr>
                            <w:top w:val="none" w:sz="0" w:space="0" w:color="auto"/>
                            <w:left w:val="none" w:sz="0" w:space="0" w:color="auto"/>
                            <w:bottom w:val="none" w:sz="0" w:space="0" w:color="auto"/>
                            <w:right w:val="none" w:sz="0" w:space="0" w:color="auto"/>
                          </w:divBdr>
                        </w:div>
                        <w:div w:id="1816605096">
                          <w:marLeft w:val="0"/>
                          <w:marRight w:val="0"/>
                          <w:marTop w:val="120"/>
                          <w:marBottom w:val="0"/>
                          <w:divBdr>
                            <w:top w:val="none" w:sz="0" w:space="0" w:color="auto"/>
                            <w:left w:val="none" w:sz="0" w:space="0" w:color="auto"/>
                            <w:bottom w:val="none" w:sz="0" w:space="0" w:color="auto"/>
                            <w:right w:val="none" w:sz="0" w:space="0" w:color="auto"/>
                          </w:divBdr>
                        </w:div>
                      </w:divsChild>
                    </w:div>
                    <w:div w:id="1552769481">
                      <w:marLeft w:val="0"/>
                      <w:marRight w:val="0"/>
                      <w:marTop w:val="120"/>
                      <w:marBottom w:val="0"/>
                      <w:divBdr>
                        <w:top w:val="none" w:sz="0" w:space="0" w:color="auto"/>
                        <w:left w:val="none" w:sz="0" w:space="0" w:color="auto"/>
                        <w:bottom w:val="none" w:sz="0" w:space="0" w:color="auto"/>
                        <w:right w:val="none" w:sz="0" w:space="0" w:color="auto"/>
                      </w:divBdr>
                    </w:div>
                  </w:divsChild>
                </w:div>
                <w:div w:id="1240753669">
                  <w:marLeft w:val="0"/>
                  <w:marRight w:val="0"/>
                  <w:marTop w:val="0"/>
                  <w:marBottom w:val="0"/>
                  <w:divBdr>
                    <w:top w:val="none" w:sz="0" w:space="0" w:color="auto"/>
                    <w:left w:val="none" w:sz="0" w:space="0" w:color="auto"/>
                    <w:bottom w:val="none" w:sz="0" w:space="0" w:color="auto"/>
                    <w:right w:val="none" w:sz="0" w:space="0" w:color="auto"/>
                  </w:divBdr>
                  <w:divsChild>
                    <w:div w:id="1399860523">
                      <w:marLeft w:val="0"/>
                      <w:marRight w:val="0"/>
                      <w:marTop w:val="120"/>
                      <w:marBottom w:val="0"/>
                      <w:divBdr>
                        <w:top w:val="none" w:sz="0" w:space="0" w:color="auto"/>
                        <w:left w:val="none" w:sz="0" w:space="0" w:color="auto"/>
                        <w:bottom w:val="none" w:sz="0" w:space="0" w:color="auto"/>
                        <w:right w:val="none" w:sz="0" w:space="0" w:color="auto"/>
                      </w:divBdr>
                    </w:div>
                    <w:div w:id="1507016630">
                      <w:marLeft w:val="0"/>
                      <w:marRight w:val="0"/>
                      <w:marTop w:val="0"/>
                      <w:marBottom w:val="0"/>
                      <w:divBdr>
                        <w:top w:val="none" w:sz="0" w:space="0" w:color="auto"/>
                        <w:left w:val="none" w:sz="0" w:space="0" w:color="auto"/>
                        <w:bottom w:val="none" w:sz="0" w:space="0" w:color="auto"/>
                        <w:right w:val="none" w:sz="0" w:space="0" w:color="auto"/>
                      </w:divBdr>
                      <w:divsChild>
                        <w:div w:id="961426831">
                          <w:marLeft w:val="0"/>
                          <w:marRight w:val="0"/>
                          <w:marTop w:val="0"/>
                          <w:marBottom w:val="0"/>
                          <w:divBdr>
                            <w:top w:val="none" w:sz="0" w:space="0" w:color="auto"/>
                            <w:left w:val="none" w:sz="0" w:space="0" w:color="auto"/>
                            <w:bottom w:val="none" w:sz="0" w:space="0" w:color="auto"/>
                            <w:right w:val="none" w:sz="0" w:space="0" w:color="auto"/>
                          </w:divBdr>
                          <w:divsChild>
                            <w:div w:id="1786121610">
                              <w:marLeft w:val="0"/>
                              <w:marRight w:val="0"/>
                              <w:marTop w:val="120"/>
                              <w:marBottom w:val="0"/>
                              <w:divBdr>
                                <w:top w:val="none" w:sz="0" w:space="0" w:color="auto"/>
                                <w:left w:val="none" w:sz="0" w:space="0" w:color="auto"/>
                                <w:bottom w:val="none" w:sz="0" w:space="0" w:color="auto"/>
                                <w:right w:val="none" w:sz="0" w:space="0" w:color="auto"/>
                              </w:divBdr>
                            </w:div>
                            <w:div w:id="1921136592">
                              <w:marLeft w:val="0"/>
                              <w:marRight w:val="0"/>
                              <w:marTop w:val="0"/>
                              <w:marBottom w:val="0"/>
                              <w:divBdr>
                                <w:top w:val="none" w:sz="0" w:space="0" w:color="auto"/>
                                <w:left w:val="none" w:sz="0" w:space="0" w:color="auto"/>
                                <w:bottom w:val="none" w:sz="0" w:space="0" w:color="auto"/>
                                <w:right w:val="none" w:sz="0" w:space="0" w:color="auto"/>
                              </w:divBdr>
                            </w:div>
                          </w:divsChild>
                        </w:div>
                        <w:div w:id="1839929455">
                          <w:marLeft w:val="0"/>
                          <w:marRight w:val="0"/>
                          <w:marTop w:val="0"/>
                          <w:marBottom w:val="0"/>
                          <w:divBdr>
                            <w:top w:val="none" w:sz="0" w:space="0" w:color="auto"/>
                            <w:left w:val="none" w:sz="0" w:space="0" w:color="auto"/>
                            <w:bottom w:val="none" w:sz="0" w:space="0" w:color="auto"/>
                            <w:right w:val="none" w:sz="0" w:space="0" w:color="auto"/>
                          </w:divBdr>
                          <w:divsChild>
                            <w:div w:id="841310721">
                              <w:marLeft w:val="0"/>
                              <w:marRight w:val="0"/>
                              <w:marTop w:val="0"/>
                              <w:marBottom w:val="0"/>
                              <w:divBdr>
                                <w:top w:val="none" w:sz="0" w:space="0" w:color="auto"/>
                                <w:left w:val="none" w:sz="0" w:space="0" w:color="auto"/>
                                <w:bottom w:val="none" w:sz="0" w:space="0" w:color="auto"/>
                                <w:right w:val="none" w:sz="0" w:space="0" w:color="auto"/>
                              </w:divBdr>
                            </w:div>
                            <w:div w:id="1703893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07129187">
                  <w:marLeft w:val="0"/>
                  <w:marRight w:val="0"/>
                  <w:marTop w:val="0"/>
                  <w:marBottom w:val="0"/>
                  <w:divBdr>
                    <w:top w:val="none" w:sz="0" w:space="0" w:color="auto"/>
                    <w:left w:val="none" w:sz="0" w:space="0" w:color="auto"/>
                    <w:bottom w:val="none" w:sz="0" w:space="0" w:color="auto"/>
                    <w:right w:val="none" w:sz="0" w:space="0" w:color="auto"/>
                  </w:divBdr>
                  <w:divsChild>
                    <w:div w:id="696858837">
                      <w:marLeft w:val="0"/>
                      <w:marRight w:val="0"/>
                      <w:marTop w:val="120"/>
                      <w:marBottom w:val="0"/>
                      <w:divBdr>
                        <w:top w:val="none" w:sz="0" w:space="0" w:color="auto"/>
                        <w:left w:val="none" w:sz="0" w:space="0" w:color="auto"/>
                        <w:bottom w:val="none" w:sz="0" w:space="0" w:color="auto"/>
                        <w:right w:val="none" w:sz="0" w:space="0" w:color="auto"/>
                      </w:divBdr>
                    </w:div>
                    <w:div w:id="1659381825">
                      <w:marLeft w:val="0"/>
                      <w:marRight w:val="0"/>
                      <w:marTop w:val="0"/>
                      <w:marBottom w:val="0"/>
                      <w:divBdr>
                        <w:top w:val="none" w:sz="0" w:space="0" w:color="auto"/>
                        <w:left w:val="none" w:sz="0" w:space="0" w:color="auto"/>
                        <w:bottom w:val="none" w:sz="0" w:space="0" w:color="auto"/>
                        <w:right w:val="none" w:sz="0" w:space="0" w:color="auto"/>
                      </w:divBdr>
                    </w:div>
                  </w:divsChild>
                </w:div>
                <w:div w:id="1380861111">
                  <w:marLeft w:val="0"/>
                  <w:marRight w:val="0"/>
                  <w:marTop w:val="0"/>
                  <w:marBottom w:val="0"/>
                  <w:divBdr>
                    <w:top w:val="none" w:sz="0" w:space="0" w:color="auto"/>
                    <w:left w:val="none" w:sz="0" w:space="0" w:color="auto"/>
                    <w:bottom w:val="none" w:sz="0" w:space="0" w:color="auto"/>
                    <w:right w:val="none" w:sz="0" w:space="0" w:color="auto"/>
                  </w:divBdr>
                  <w:divsChild>
                    <w:div w:id="48044537">
                      <w:marLeft w:val="0"/>
                      <w:marRight w:val="0"/>
                      <w:marTop w:val="120"/>
                      <w:marBottom w:val="0"/>
                      <w:divBdr>
                        <w:top w:val="none" w:sz="0" w:space="0" w:color="auto"/>
                        <w:left w:val="none" w:sz="0" w:space="0" w:color="auto"/>
                        <w:bottom w:val="none" w:sz="0" w:space="0" w:color="auto"/>
                        <w:right w:val="none" w:sz="0" w:space="0" w:color="auto"/>
                      </w:divBdr>
                    </w:div>
                    <w:div w:id="1971402114">
                      <w:marLeft w:val="0"/>
                      <w:marRight w:val="0"/>
                      <w:marTop w:val="0"/>
                      <w:marBottom w:val="0"/>
                      <w:divBdr>
                        <w:top w:val="none" w:sz="0" w:space="0" w:color="auto"/>
                        <w:left w:val="none" w:sz="0" w:space="0" w:color="auto"/>
                        <w:bottom w:val="none" w:sz="0" w:space="0" w:color="auto"/>
                        <w:right w:val="none" w:sz="0" w:space="0" w:color="auto"/>
                      </w:divBdr>
                    </w:div>
                  </w:divsChild>
                </w:div>
                <w:div w:id="1853252963">
                  <w:marLeft w:val="0"/>
                  <w:marRight w:val="0"/>
                  <w:marTop w:val="0"/>
                  <w:marBottom w:val="0"/>
                  <w:divBdr>
                    <w:top w:val="none" w:sz="0" w:space="0" w:color="auto"/>
                    <w:left w:val="none" w:sz="0" w:space="0" w:color="auto"/>
                    <w:bottom w:val="none" w:sz="0" w:space="0" w:color="auto"/>
                    <w:right w:val="none" w:sz="0" w:space="0" w:color="auto"/>
                  </w:divBdr>
                  <w:divsChild>
                    <w:div w:id="1552841376">
                      <w:marLeft w:val="0"/>
                      <w:marRight w:val="0"/>
                      <w:marTop w:val="0"/>
                      <w:marBottom w:val="0"/>
                      <w:divBdr>
                        <w:top w:val="none" w:sz="0" w:space="0" w:color="auto"/>
                        <w:left w:val="none" w:sz="0" w:space="0" w:color="auto"/>
                        <w:bottom w:val="none" w:sz="0" w:space="0" w:color="auto"/>
                        <w:right w:val="none" w:sz="0" w:space="0" w:color="auto"/>
                      </w:divBdr>
                      <w:divsChild>
                        <w:div w:id="1385640566">
                          <w:marLeft w:val="0"/>
                          <w:marRight w:val="0"/>
                          <w:marTop w:val="120"/>
                          <w:marBottom w:val="0"/>
                          <w:divBdr>
                            <w:top w:val="none" w:sz="0" w:space="0" w:color="auto"/>
                            <w:left w:val="none" w:sz="0" w:space="0" w:color="auto"/>
                            <w:bottom w:val="none" w:sz="0" w:space="0" w:color="auto"/>
                            <w:right w:val="none" w:sz="0" w:space="0" w:color="auto"/>
                          </w:divBdr>
                        </w:div>
                        <w:div w:id="1734886901">
                          <w:marLeft w:val="0"/>
                          <w:marRight w:val="0"/>
                          <w:marTop w:val="120"/>
                          <w:marBottom w:val="0"/>
                          <w:divBdr>
                            <w:top w:val="none" w:sz="0" w:space="0" w:color="auto"/>
                            <w:left w:val="none" w:sz="0" w:space="0" w:color="auto"/>
                            <w:bottom w:val="none" w:sz="0" w:space="0" w:color="auto"/>
                            <w:right w:val="none" w:sz="0" w:space="0" w:color="auto"/>
                          </w:divBdr>
                        </w:div>
                      </w:divsChild>
                    </w:div>
                    <w:div w:id="2090422413">
                      <w:marLeft w:val="0"/>
                      <w:marRight w:val="0"/>
                      <w:marTop w:val="120"/>
                      <w:marBottom w:val="0"/>
                      <w:divBdr>
                        <w:top w:val="none" w:sz="0" w:space="0" w:color="auto"/>
                        <w:left w:val="none" w:sz="0" w:space="0" w:color="auto"/>
                        <w:bottom w:val="none" w:sz="0" w:space="0" w:color="auto"/>
                        <w:right w:val="none" w:sz="0" w:space="0" w:color="auto"/>
                      </w:divBdr>
                    </w:div>
                  </w:divsChild>
                </w:div>
                <w:div w:id="2084332611">
                  <w:marLeft w:val="0"/>
                  <w:marRight w:val="0"/>
                  <w:marTop w:val="0"/>
                  <w:marBottom w:val="0"/>
                  <w:divBdr>
                    <w:top w:val="none" w:sz="0" w:space="0" w:color="auto"/>
                    <w:left w:val="none" w:sz="0" w:space="0" w:color="auto"/>
                    <w:bottom w:val="none" w:sz="0" w:space="0" w:color="auto"/>
                    <w:right w:val="none" w:sz="0" w:space="0" w:color="auto"/>
                  </w:divBdr>
                  <w:divsChild>
                    <w:div w:id="847447897">
                      <w:marLeft w:val="0"/>
                      <w:marRight w:val="0"/>
                      <w:marTop w:val="120"/>
                      <w:marBottom w:val="0"/>
                      <w:divBdr>
                        <w:top w:val="none" w:sz="0" w:space="0" w:color="auto"/>
                        <w:left w:val="none" w:sz="0" w:space="0" w:color="auto"/>
                        <w:bottom w:val="none" w:sz="0" w:space="0" w:color="auto"/>
                        <w:right w:val="none" w:sz="0" w:space="0" w:color="auto"/>
                      </w:divBdr>
                    </w:div>
                    <w:div w:id="18569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13673">
          <w:marLeft w:val="0"/>
          <w:marRight w:val="0"/>
          <w:marTop w:val="0"/>
          <w:marBottom w:val="0"/>
          <w:divBdr>
            <w:top w:val="none" w:sz="0" w:space="0" w:color="auto"/>
            <w:left w:val="none" w:sz="0" w:space="0" w:color="auto"/>
            <w:bottom w:val="none" w:sz="0" w:space="0" w:color="auto"/>
            <w:right w:val="none" w:sz="0" w:space="0" w:color="auto"/>
          </w:divBdr>
          <w:divsChild>
            <w:div w:id="416220277">
              <w:marLeft w:val="0"/>
              <w:marRight w:val="0"/>
              <w:marTop w:val="0"/>
              <w:marBottom w:val="0"/>
              <w:divBdr>
                <w:top w:val="none" w:sz="0" w:space="0" w:color="auto"/>
                <w:left w:val="none" w:sz="0" w:space="0" w:color="auto"/>
                <w:bottom w:val="none" w:sz="0" w:space="0" w:color="auto"/>
                <w:right w:val="none" w:sz="0" w:space="0" w:color="auto"/>
              </w:divBdr>
              <w:divsChild>
                <w:div w:id="214048427">
                  <w:marLeft w:val="0"/>
                  <w:marRight w:val="0"/>
                  <w:marTop w:val="0"/>
                  <w:marBottom w:val="0"/>
                  <w:divBdr>
                    <w:top w:val="none" w:sz="0" w:space="0" w:color="auto"/>
                    <w:left w:val="none" w:sz="0" w:space="0" w:color="auto"/>
                    <w:bottom w:val="none" w:sz="0" w:space="0" w:color="auto"/>
                    <w:right w:val="none" w:sz="0" w:space="0" w:color="auto"/>
                  </w:divBdr>
                  <w:divsChild>
                    <w:div w:id="617416591">
                      <w:marLeft w:val="0"/>
                      <w:marRight w:val="0"/>
                      <w:marTop w:val="0"/>
                      <w:marBottom w:val="0"/>
                      <w:divBdr>
                        <w:top w:val="none" w:sz="0" w:space="0" w:color="auto"/>
                        <w:left w:val="none" w:sz="0" w:space="0" w:color="auto"/>
                        <w:bottom w:val="none" w:sz="0" w:space="0" w:color="auto"/>
                        <w:right w:val="none" w:sz="0" w:space="0" w:color="auto"/>
                      </w:divBdr>
                    </w:div>
                    <w:div w:id="1088619428">
                      <w:marLeft w:val="0"/>
                      <w:marRight w:val="0"/>
                      <w:marTop w:val="120"/>
                      <w:marBottom w:val="0"/>
                      <w:divBdr>
                        <w:top w:val="none" w:sz="0" w:space="0" w:color="auto"/>
                        <w:left w:val="none" w:sz="0" w:space="0" w:color="auto"/>
                        <w:bottom w:val="none" w:sz="0" w:space="0" w:color="auto"/>
                        <w:right w:val="none" w:sz="0" w:space="0" w:color="auto"/>
                      </w:divBdr>
                    </w:div>
                  </w:divsChild>
                </w:div>
                <w:div w:id="1434016306">
                  <w:marLeft w:val="0"/>
                  <w:marRight w:val="0"/>
                  <w:marTop w:val="0"/>
                  <w:marBottom w:val="0"/>
                  <w:divBdr>
                    <w:top w:val="none" w:sz="0" w:space="0" w:color="auto"/>
                    <w:left w:val="none" w:sz="0" w:space="0" w:color="auto"/>
                    <w:bottom w:val="none" w:sz="0" w:space="0" w:color="auto"/>
                    <w:right w:val="none" w:sz="0" w:space="0" w:color="auto"/>
                  </w:divBdr>
                  <w:divsChild>
                    <w:div w:id="1269586692">
                      <w:marLeft w:val="0"/>
                      <w:marRight w:val="0"/>
                      <w:marTop w:val="120"/>
                      <w:marBottom w:val="0"/>
                      <w:divBdr>
                        <w:top w:val="none" w:sz="0" w:space="0" w:color="auto"/>
                        <w:left w:val="none" w:sz="0" w:space="0" w:color="auto"/>
                        <w:bottom w:val="none" w:sz="0" w:space="0" w:color="auto"/>
                        <w:right w:val="none" w:sz="0" w:space="0" w:color="auto"/>
                      </w:divBdr>
                    </w:div>
                    <w:div w:id="13319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57082">
          <w:marLeft w:val="0"/>
          <w:marRight w:val="0"/>
          <w:marTop w:val="0"/>
          <w:marBottom w:val="0"/>
          <w:divBdr>
            <w:top w:val="none" w:sz="0" w:space="0" w:color="auto"/>
            <w:left w:val="none" w:sz="0" w:space="0" w:color="auto"/>
            <w:bottom w:val="none" w:sz="0" w:space="0" w:color="auto"/>
            <w:right w:val="none" w:sz="0" w:space="0" w:color="auto"/>
          </w:divBdr>
        </w:div>
        <w:div w:id="1273512002">
          <w:marLeft w:val="0"/>
          <w:marRight w:val="0"/>
          <w:marTop w:val="0"/>
          <w:marBottom w:val="0"/>
          <w:divBdr>
            <w:top w:val="none" w:sz="0" w:space="0" w:color="auto"/>
            <w:left w:val="none" w:sz="0" w:space="0" w:color="auto"/>
            <w:bottom w:val="none" w:sz="0" w:space="0" w:color="auto"/>
            <w:right w:val="none" w:sz="0" w:space="0" w:color="auto"/>
          </w:divBdr>
          <w:divsChild>
            <w:div w:id="376517364">
              <w:marLeft w:val="0"/>
              <w:marRight w:val="0"/>
              <w:marTop w:val="0"/>
              <w:marBottom w:val="0"/>
              <w:divBdr>
                <w:top w:val="none" w:sz="0" w:space="0" w:color="auto"/>
                <w:left w:val="none" w:sz="0" w:space="0" w:color="auto"/>
                <w:bottom w:val="none" w:sz="0" w:space="0" w:color="auto"/>
                <w:right w:val="none" w:sz="0" w:space="0" w:color="auto"/>
              </w:divBdr>
            </w:div>
          </w:divsChild>
        </w:div>
        <w:div w:id="1753040209">
          <w:marLeft w:val="0"/>
          <w:marRight w:val="0"/>
          <w:marTop w:val="0"/>
          <w:marBottom w:val="0"/>
          <w:divBdr>
            <w:top w:val="none" w:sz="0" w:space="0" w:color="auto"/>
            <w:left w:val="none" w:sz="0" w:space="0" w:color="auto"/>
            <w:bottom w:val="none" w:sz="0" w:space="0" w:color="auto"/>
            <w:right w:val="none" w:sz="0" w:space="0" w:color="auto"/>
          </w:divBdr>
          <w:divsChild>
            <w:div w:id="584000023">
              <w:marLeft w:val="0"/>
              <w:marRight w:val="0"/>
              <w:marTop w:val="0"/>
              <w:marBottom w:val="0"/>
              <w:divBdr>
                <w:top w:val="none" w:sz="0" w:space="0" w:color="auto"/>
                <w:left w:val="none" w:sz="0" w:space="0" w:color="auto"/>
                <w:bottom w:val="none" w:sz="0" w:space="0" w:color="auto"/>
                <w:right w:val="none" w:sz="0" w:space="0" w:color="auto"/>
              </w:divBdr>
              <w:divsChild>
                <w:div w:id="238634509">
                  <w:marLeft w:val="0"/>
                  <w:marRight w:val="0"/>
                  <w:marTop w:val="0"/>
                  <w:marBottom w:val="0"/>
                  <w:divBdr>
                    <w:top w:val="none" w:sz="0" w:space="0" w:color="auto"/>
                    <w:left w:val="none" w:sz="0" w:space="0" w:color="auto"/>
                    <w:bottom w:val="none" w:sz="0" w:space="0" w:color="auto"/>
                    <w:right w:val="none" w:sz="0" w:space="0" w:color="auto"/>
                  </w:divBdr>
                  <w:divsChild>
                    <w:div w:id="857698665">
                      <w:marLeft w:val="0"/>
                      <w:marRight w:val="0"/>
                      <w:marTop w:val="120"/>
                      <w:marBottom w:val="0"/>
                      <w:divBdr>
                        <w:top w:val="none" w:sz="0" w:space="0" w:color="auto"/>
                        <w:left w:val="none" w:sz="0" w:space="0" w:color="auto"/>
                        <w:bottom w:val="none" w:sz="0" w:space="0" w:color="auto"/>
                        <w:right w:val="none" w:sz="0" w:space="0" w:color="auto"/>
                      </w:divBdr>
                    </w:div>
                    <w:div w:id="1612860598">
                      <w:marLeft w:val="0"/>
                      <w:marRight w:val="0"/>
                      <w:marTop w:val="0"/>
                      <w:marBottom w:val="0"/>
                      <w:divBdr>
                        <w:top w:val="none" w:sz="0" w:space="0" w:color="auto"/>
                        <w:left w:val="none" w:sz="0" w:space="0" w:color="auto"/>
                        <w:bottom w:val="none" w:sz="0" w:space="0" w:color="auto"/>
                        <w:right w:val="none" w:sz="0" w:space="0" w:color="auto"/>
                      </w:divBdr>
                    </w:div>
                  </w:divsChild>
                </w:div>
                <w:div w:id="461772079">
                  <w:marLeft w:val="0"/>
                  <w:marRight w:val="0"/>
                  <w:marTop w:val="0"/>
                  <w:marBottom w:val="0"/>
                  <w:divBdr>
                    <w:top w:val="none" w:sz="0" w:space="0" w:color="auto"/>
                    <w:left w:val="none" w:sz="0" w:space="0" w:color="auto"/>
                    <w:bottom w:val="none" w:sz="0" w:space="0" w:color="auto"/>
                    <w:right w:val="none" w:sz="0" w:space="0" w:color="auto"/>
                  </w:divBdr>
                  <w:divsChild>
                    <w:div w:id="994533060">
                      <w:marLeft w:val="0"/>
                      <w:marRight w:val="0"/>
                      <w:marTop w:val="0"/>
                      <w:marBottom w:val="0"/>
                      <w:divBdr>
                        <w:top w:val="none" w:sz="0" w:space="0" w:color="auto"/>
                        <w:left w:val="none" w:sz="0" w:space="0" w:color="auto"/>
                        <w:bottom w:val="none" w:sz="0" w:space="0" w:color="auto"/>
                        <w:right w:val="none" w:sz="0" w:space="0" w:color="auto"/>
                      </w:divBdr>
                    </w:div>
                    <w:div w:id="1805735830">
                      <w:marLeft w:val="0"/>
                      <w:marRight w:val="0"/>
                      <w:marTop w:val="120"/>
                      <w:marBottom w:val="0"/>
                      <w:divBdr>
                        <w:top w:val="none" w:sz="0" w:space="0" w:color="auto"/>
                        <w:left w:val="none" w:sz="0" w:space="0" w:color="auto"/>
                        <w:bottom w:val="none" w:sz="0" w:space="0" w:color="auto"/>
                        <w:right w:val="none" w:sz="0" w:space="0" w:color="auto"/>
                      </w:divBdr>
                    </w:div>
                  </w:divsChild>
                </w:div>
                <w:div w:id="1534348184">
                  <w:marLeft w:val="0"/>
                  <w:marRight w:val="0"/>
                  <w:marTop w:val="0"/>
                  <w:marBottom w:val="0"/>
                  <w:divBdr>
                    <w:top w:val="none" w:sz="0" w:space="0" w:color="auto"/>
                    <w:left w:val="none" w:sz="0" w:space="0" w:color="auto"/>
                    <w:bottom w:val="none" w:sz="0" w:space="0" w:color="auto"/>
                    <w:right w:val="none" w:sz="0" w:space="0" w:color="auto"/>
                  </w:divBdr>
                  <w:divsChild>
                    <w:div w:id="659964511">
                      <w:marLeft w:val="0"/>
                      <w:marRight w:val="0"/>
                      <w:marTop w:val="0"/>
                      <w:marBottom w:val="0"/>
                      <w:divBdr>
                        <w:top w:val="none" w:sz="0" w:space="0" w:color="auto"/>
                        <w:left w:val="none" w:sz="0" w:space="0" w:color="auto"/>
                        <w:bottom w:val="none" w:sz="0" w:space="0" w:color="auto"/>
                        <w:right w:val="none" w:sz="0" w:space="0" w:color="auto"/>
                      </w:divBdr>
                    </w:div>
                    <w:div w:id="1214467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3642109">
      <w:bodyDiv w:val="1"/>
      <w:marLeft w:val="0"/>
      <w:marRight w:val="0"/>
      <w:marTop w:val="0"/>
      <w:marBottom w:val="0"/>
      <w:divBdr>
        <w:top w:val="none" w:sz="0" w:space="0" w:color="auto"/>
        <w:left w:val="none" w:sz="0" w:space="0" w:color="auto"/>
        <w:bottom w:val="none" w:sz="0" w:space="0" w:color="auto"/>
        <w:right w:val="none" w:sz="0" w:space="0" w:color="auto"/>
      </w:divBdr>
    </w:div>
    <w:div w:id="1459447054">
      <w:bodyDiv w:val="1"/>
      <w:marLeft w:val="0"/>
      <w:marRight w:val="0"/>
      <w:marTop w:val="0"/>
      <w:marBottom w:val="0"/>
      <w:divBdr>
        <w:top w:val="none" w:sz="0" w:space="0" w:color="auto"/>
        <w:left w:val="none" w:sz="0" w:space="0" w:color="auto"/>
        <w:bottom w:val="none" w:sz="0" w:space="0" w:color="auto"/>
        <w:right w:val="none" w:sz="0" w:space="0" w:color="auto"/>
      </w:divBdr>
      <w:divsChild>
        <w:div w:id="231701692">
          <w:marLeft w:val="0"/>
          <w:marRight w:val="0"/>
          <w:marTop w:val="0"/>
          <w:marBottom w:val="0"/>
          <w:divBdr>
            <w:top w:val="none" w:sz="0" w:space="0" w:color="auto"/>
            <w:left w:val="none" w:sz="0" w:space="0" w:color="auto"/>
            <w:bottom w:val="none" w:sz="0" w:space="0" w:color="auto"/>
            <w:right w:val="none" w:sz="0" w:space="0" w:color="auto"/>
          </w:divBdr>
          <w:divsChild>
            <w:div w:id="1912811530">
              <w:marLeft w:val="0"/>
              <w:marRight w:val="0"/>
              <w:marTop w:val="0"/>
              <w:marBottom w:val="0"/>
              <w:divBdr>
                <w:top w:val="none" w:sz="0" w:space="0" w:color="auto"/>
                <w:left w:val="none" w:sz="0" w:space="0" w:color="auto"/>
                <w:bottom w:val="none" w:sz="0" w:space="0" w:color="auto"/>
                <w:right w:val="none" w:sz="0" w:space="0" w:color="auto"/>
              </w:divBdr>
              <w:divsChild>
                <w:div w:id="39519055">
                  <w:marLeft w:val="0"/>
                  <w:marRight w:val="0"/>
                  <w:marTop w:val="0"/>
                  <w:marBottom w:val="0"/>
                  <w:divBdr>
                    <w:top w:val="none" w:sz="0" w:space="0" w:color="auto"/>
                    <w:left w:val="none" w:sz="0" w:space="0" w:color="auto"/>
                    <w:bottom w:val="none" w:sz="0" w:space="0" w:color="auto"/>
                    <w:right w:val="none" w:sz="0" w:space="0" w:color="auto"/>
                  </w:divBdr>
                  <w:divsChild>
                    <w:div w:id="1273442601">
                      <w:marLeft w:val="0"/>
                      <w:marRight w:val="0"/>
                      <w:marTop w:val="0"/>
                      <w:marBottom w:val="0"/>
                      <w:divBdr>
                        <w:top w:val="none" w:sz="0" w:space="0" w:color="auto"/>
                        <w:left w:val="none" w:sz="0" w:space="0" w:color="auto"/>
                        <w:bottom w:val="none" w:sz="0" w:space="0" w:color="auto"/>
                        <w:right w:val="none" w:sz="0" w:space="0" w:color="auto"/>
                      </w:divBdr>
                    </w:div>
                    <w:div w:id="1319991827">
                      <w:marLeft w:val="0"/>
                      <w:marRight w:val="0"/>
                      <w:marTop w:val="120"/>
                      <w:marBottom w:val="0"/>
                      <w:divBdr>
                        <w:top w:val="none" w:sz="0" w:space="0" w:color="auto"/>
                        <w:left w:val="none" w:sz="0" w:space="0" w:color="auto"/>
                        <w:bottom w:val="none" w:sz="0" w:space="0" w:color="auto"/>
                        <w:right w:val="none" w:sz="0" w:space="0" w:color="auto"/>
                      </w:divBdr>
                    </w:div>
                  </w:divsChild>
                </w:div>
                <w:div w:id="364870873">
                  <w:marLeft w:val="0"/>
                  <w:marRight w:val="0"/>
                  <w:marTop w:val="0"/>
                  <w:marBottom w:val="0"/>
                  <w:divBdr>
                    <w:top w:val="none" w:sz="0" w:space="0" w:color="auto"/>
                    <w:left w:val="none" w:sz="0" w:space="0" w:color="auto"/>
                    <w:bottom w:val="none" w:sz="0" w:space="0" w:color="auto"/>
                    <w:right w:val="none" w:sz="0" w:space="0" w:color="auto"/>
                  </w:divBdr>
                  <w:divsChild>
                    <w:div w:id="331762627">
                      <w:marLeft w:val="0"/>
                      <w:marRight w:val="0"/>
                      <w:marTop w:val="0"/>
                      <w:marBottom w:val="0"/>
                      <w:divBdr>
                        <w:top w:val="none" w:sz="0" w:space="0" w:color="auto"/>
                        <w:left w:val="none" w:sz="0" w:space="0" w:color="auto"/>
                        <w:bottom w:val="none" w:sz="0" w:space="0" w:color="auto"/>
                        <w:right w:val="none" w:sz="0" w:space="0" w:color="auto"/>
                      </w:divBdr>
                    </w:div>
                    <w:div w:id="369963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5220433">
          <w:marLeft w:val="0"/>
          <w:marRight w:val="0"/>
          <w:marTop w:val="0"/>
          <w:marBottom w:val="0"/>
          <w:divBdr>
            <w:top w:val="none" w:sz="0" w:space="0" w:color="auto"/>
            <w:left w:val="none" w:sz="0" w:space="0" w:color="auto"/>
            <w:bottom w:val="none" w:sz="0" w:space="0" w:color="auto"/>
            <w:right w:val="none" w:sz="0" w:space="0" w:color="auto"/>
          </w:divBdr>
          <w:divsChild>
            <w:div w:id="1700819325">
              <w:marLeft w:val="0"/>
              <w:marRight w:val="0"/>
              <w:marTop w:val="0"/>
              <w:marBottom w:val="0"/>
              <w:divBdr>
                <w:top w:val="none" w:sz="0" w:space="0" w:color="auto"/>
                <w:left w:val="none" w:sz="0" w:space="0" w:color="auto"/>
                <w:bottom w:val="none" w:sz="0" w:space="0" w:color="auto"/>
                <w:right w:val="none" w:sz="0" w:space="0" w:color="auto"/>
              </w:divBdr>
            </w:div>
          </w:divsChild>
        </w:div>
        <w:div w:id="1876431400">
          <w:marLeft w:val="0"/>
          <w:marRight w:val="0"/>
          <w:marTop w:val="0"/>
          <w:marBottom w:val="0"/>
          <w:divBdr>
            <w:top w:val="none" w:sz="0" w:space="0" w:color="auto"/>
            <w:left w:val="none" w:sz="0" w:space="0" w:color="auto"/>
            <w:bottom w:val="none" w:sz="0" w:space="0" w:color="auto"/>
            <w:right w:val="none" w:sz="0" w:space="0" w:color="auto"/>
          </w:divBdr>
        </w:div>
      </w:divsChild>
    </w:div>
    <w:div w:id="1618293131">
      <w:bodyDiv w:val="1"/>
      <w:marLeft w:val="0"/>
      <w:marRight w:val="0"/>
      <w:marTop w:val="0"/>
      <w:marBottom w:val="0"/>
      <w:divBdr>
        <w:top w:val="none" w:sz="0" w:space="0" w:color="auto"/>
        <w:left w:val="none" w:sz="0" w:space="0" w:color="auto"/>
        <w:bottom w:val="none" w:sz="0" w:space="0" w:color="auto"/>
        <w:right w:val="none" w:sz="0" w:space="0" w:color="auto"/>
      </w:divBdr>
      <w:divsChild>
        <w:div w:id="438642009">
          <w:marLeft w:val="0"/>
          <w:marRight w:val="0"/>
          <w:marTop w:val="0"/>
          <w:marBottom w:val="0"/>
          <w:divBdr>
            <w:top w:val="none" w:sz="0" w:space="0" w:color="auto"/>
            <w:left w:val="none" w:sz="0" w:space="0" w:color="auto"/>
            <w:bottom w:val="none" w:sz="0" w:space="0" w:color="auto"/>
            <w:right w:val="none" w:sz="0" w:space="0" w:color="auto"/>
          </w:divBdr>
        </w:div>
      </w:divsChild>
    </w:div>
    <w:div w:id="1627807822">
      <w:bodyDiv w:val="1"/>
      <w:marLeft w:val="0"/>
      <w:marRight w:val="0"/>
      <w:marTop w:val="0"/>
      <w:marBottom w:val="0"/>
      <w:divBdr>
        <w:top w:val="none" w:sz="0" w:space="0" w:color="auto"/>
        <w:left w:val="none" w:sz="0" w:space="0" w:color="auto"/>
        <w:bottom w:val="none" w:sz="0" w:space="0" w:color="auto"/>
        <w:right w:val="none" w:sz="0" w:space="0" w:color="auto"/>
      </w:divBdr>
      <w:divsChild>
        <w:div w:id="1013608105">
          <w:marLeft w:val="0"/>
          <w:marRight w:val="0"/>
          <w:marTop w:val="0"/>
          <w:marBottom w:val="0"/>
          <w:divBdr>
            <w:top w:val="none" w:sz="0" w:space="0" w:color="auto"/>
            <w:left w:val="none" w:sz="0" w:space="0" w:color="auto"/>
            <w:bottom w:val="none" w:sz="0" w:space="0" w:color="auto"/>
            <w:right w:val="none" w:sz="0" w:space="0" w:color="auto"/>
          </w:divBdr>
          <w:divsChild>
            <w:div w:id="1850293283">
              <w:marLeft w:val="0"/>
              <w:marRight w:val="0"/>
              <w:marTop w:val="0"/>
              <w:marBottom w:val="0"/>
              <w:divBdr>
                <w:top w:val="none" w:sz="0" w:space="0" w:color="auto"/>
                <w:left w:val="none" w:sz="0" w:space="0" w:color="auto"/>
                <w:bottom w:val="none" w:sz="0" w:space="0" w:color="auto"/>
                <w:right w:val="none" w:sz="0" w:space="0" w:color="auto"/>
              </w:divBdr>
            </w:div>
            <w:div w:id="15081243">
              <w:marLeft w:val="0"/>
              <w:marRight w:val="0"/>
              <w:marTop w:val="0"/>
              <w:marBottom w:val="0"/>
              <w:divBdr>
                <w:top w:val="none" w:sz="0" w:space="0" w:color="auto"/>
                <w:left w:val="none" w:sz="0" w:space="0" w:color="auto"/>
                <w:bottom w:val="none" w:sz="0" w:space="0" w:color="auto"/>
                <w:right w:val="none" w:sz="0" w:space="0" w:color="auto"/>
              </w:divBdr>
              <w:divsChild>
                <w:div w:id="550574605">
                  <w:marLeft w:val="0"/>
                  <w:marRight w:val="0"/>
                  <w:marTop w:val="0"/>
                  <w:marBottom w:val="0"/>
                  <w:divBdr>
                    <w:top w:val="none" w:sz="0" w:space="0" w:color="auto"/>
                    <w:left w:val="none" w:sz="0" w:space="0" w:color="auto"/>
                    <w:bottom w:val="none" w:sz="0" w:space="0" w:color="auto"/>
                    <w:right w:val="none" w:sz="0" w:space="0" w:color="auto"/>
                  </w:divBdr>
                  <w:divsChild>
                    <w:div w:id="615218380">
                      <w:marLeft w:val="0"/>
                      <w:marRight w:val="0"/>
                      <w:marTop w:val="120"/>
                      <w:marBottom w:val="0"/>
                      <w:divBdr>
                        <w:top w:val="none" w:sz="0" w:space="0" w:color="auto"/>
                        <w:left w:val="none" w:sz="0" w:space="0" w:color="auto"/>
                        <w:bottom w:val="none" w:sz="0" w:space="0" w:color="auto"/>
                        <w:right w:val="none" w:sz="0" w:space="0" w:color="auto"/>
                      </w:divBdr>
                    </w:div>
                    <w:div w:id="1000696417">
                      <w:marLeft w:val="0"/>
                      <w:marRight w:val="0"/>
                      <w:marTop w:val="120"/>
                      <w:marBottom w:val="0"/>
                      <w:divBdr>
                        <w:top w:val="none" w:sz="0" w:space="0" w:color="auto"/>
                        <w:left w:val="none" w:sz="0" w:space="0" w:color="auto"/>
                        <w:bottom w:val="none" w:sz="0" w:space="0" w:color="auto"/>
                        <w:right w:val="none" w:sz="0" w:space="0" w:color="auto"/>
                      </w:divBdr>
                    </w:div>
                    <w:div w:id="901721534">
                      <w:marLeft w:val="0"/>
                      <w:marRight w:val="0"/>
                      <w:marTop w:val="120"/>
                      <w:marBottom w:val="0"/>
                      <w:divBdr>
                        <w:top w:val="none" w:sz="0" w:space="0" w:color="auto"/>
                        <w:left w:val="none" w:sz="0" w:space="0" w:color="auto"/>
                        <w:bottom w:val="none" w:sz="0" w:space="0" w:color="auto"/>
                        <w:right w:val="none" w:sz="0" w:space="0" w:color="auto"/>
                      </w:divBdr>
                    </w:div>
                    <w:div w:id="1804889430">
                      <w:marLeft w:val="0"/>
                      <w:marRight w:val="0"/>
                      <w:marTop w:val="120"/>
                      <w:marBottom w:val="0"/>
                      <w:divBdr>
                        <w:top w:val="none" w:sz="0" w:space="0" w:color="auto"/>
                        <w:left w:val="none" w:sz="0" w:space="0" w:color="auto"/>
                        <w:bottom w:val="none" w:sz="0" w:space="0" w:color="auto"/>
                        <w:right w:val="none" w:sz="0" w:space="0" w:color="auto"/>
                      </w:divBdr>
                    </w:div>
                    <w:div w:id="819543282">
                      <w:marLeft w:val="0"/>
                      <w:marRight w:val="0"/>
                      <w:marTop w:val="120"/>
                      <w:marBottom w:val="0"/>
                      <w:divBdr>
                        <w:top w:val="none" w:sz="0" w:space="0" w:color="auto"/>
                        <w:left w:val="none" w:sz="0" w:space="0" w:color="auto"/>
                        <w:bottom w:val="none" w:sz="0" w:space="0" w:color="auto"/>
                        <w:right w:val="none" w:sz="0" w:space="0" w:color="auto"/>
                      </w:divBdr>
                    </w:div>
                    <w:div w:id="639965892">
                      <w:marLeft w:val="0"/>
                      <w:marRight w:val="0"/>
                      <w:marTop w:val="120"/>
                      <w:marBottom w:val="0"/>
                      <w:divBdr>
                        <w:top w:val="none" w:sz="0" w:space="0" w:color="auto"/>
                        <w:left w:val="none" w:sz="0" w:space="0" w:color="auto"/>
                        <w:bottom w:val="none" w:sz="0" w:space="0" w:color="auto"/>
                        <w:right w:val="none" w:sz="0" w:space="0" w:color="auto"/>
                      </w:divBdr>
                    </w:div>
                    <w:div w:id="1587181690">
                      <w:marLeft w:val="0"/>
                      <w:marRight w:val="0"/>
                      <w:marTop w:val="120"/>
                      <w:marBottom w:val="0"/>
                      <w:divBdr>
                        <w:top w:val="none" w:sz="0" w:space="0" w:color="auto"/>
                        <w:left w:val="none" w:sz="0" w:space="0" w:color="auto"/>
                        <w:bottom w:val="none" w:sz="0" w:space="0" w:color="auto"/>
                        <w:right w:val="none" w:sz="0" w:space="0" w:color="auto"/>
                      </w:divBdr>
                    </w:div>
                    <w:div w:id="20666781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1611843">
              <w:marLeft w:val="0"/>
              <w:marRight w:val="0"/>
              <w:marTop w:val="0"/>
              <w:marBottom w:val="0"/>
              <w:divBdr>
                <w:top w:val="none" w:sz="0" w:space="0" w:color="auto"/>
                <w:left w:val="none" w:sz="0" w:space="0" w:color="auto"/>
                <w:bottom w:val="none" w:sz="0" w:space="0" w:color="auto"/>
                <w:right w:val="none" w:sz="0" w:space="0" w:color="auto"/>
              </w:divBdr>
              <w:divsChild>
                <w:div w:id="561598715">
                  <w:marLeft w:val="0"/>
                  <w:marRight w:val="0"/>
                  <w:marTop w:val="0"/>
                  <w:marBottom w:val="0"/>
                  <w:divBdr>
                    <w:top w:val="none" w:sz="0" w:space="0" w:color="auto"/>
                    <w:left w:val="none" w:sz="0" w:space="0" w:color="auto"/>
                    <w:bottom w:val="none" w:sz="0" w:space="0" w:color="auto"/>
                    <w:right w:val="none" w:sz="0" w:space="0" w:color="auto"/>
                  </w:divBdr>
                </w:div>
              </w:divsChild>
            </w:div>
            <w:div w:id="1045057303">
              <w:marLeft w:val="0"/>
              <w:marRight w:val="0"/>
              <w:marTop w:val="0"/>
              <w:marBottom w:val="0"/>
              <w:divBdr>
                <w:top w:val="none" w:sz="0" w:space="0" w:color="auto"/>
                <w:left w:val="none" w:sz="0" w:space="0" w:color="auto"/>
                <w:bottom w:val="none" w:sz="0" w:space="0" w:color="auto"/>
                <w:right w:val="none" w:sz="0" w:space="0" w:color="auto"/>
              </w:divBdr>
              <w:divsChild>
                <w:div w:id="1939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RO/AUTO/?uri=celex:32022R0954"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hyperlink" Target="https://eur-lex.europa.eu/legal-content/RO/AUTO/?uri=celex:32022R0954"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RO/AUTO/?uri=celex:32022R0954" TargetMode="External"/><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itus xmlns="http://schemas.titus.com/TitusProperties/">
  <TitusGUID xmlns="">f9dc13b9-184d-4208-88b5-f5b58253d123</TitusGUID>
  <TitusMetadata xmlns="">eyJucyI6IioiLCJwcm9wcyI6W3sibiI6IkNsYXNpZmljYXJlIiwidmFscyI6W3sidmFsdWUiOiJOT05FIn1dfV19</TitusMetadata>
</titu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92115-1083-4203-ABFD-04803716B09E}">
  <ds:schemaRefs>
    <ds:schemaRef ds:uri="http://schemas.titus.com/TitusProperties/"/>
    <ds:schemaRef ds:uri=""/>
  </ds:schemaRefs>
</ds:datastoreItem>
</file>

<file path=customXml/itemProps4.xml><?xml version="1.0" encoding="utf-8"?>
<ds:datastoreItem xmlns:ds="http://schemas.openxmlformats.org/officeDocument/2006/customXml" ds:itemID="{B514FBFC-61C1-4D37-8324-C900C1855A7F}">
  <ds:schemaRefs>
    <ds:schemaRef ds:uri="http://schemas.openxmlformats.org/officeDocument/2006/bibliography"/>
  </ds:schemaRefs>
</ds:datastoreItem>
</file>

<file path=customXml/itemProps5.xml><?xml version="1.0" encoding="utf-8"?>
<ds:datastoreItem xmlns:ds="http://schemas.openxmlformats.org/officeDocument/2006/customXml" ds:itemID="{BB32E8EF-D770-47C2-9539-84EA45E4C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4481</Words>
  <Characters>25995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2026-03-27T13:55:00Z</cp:lastPrinted>
  <dcterms:created xsi:type="dcterms:W3CDTF">2026-03-27T13:56:00Z</dcterms:created>
  <dcterms:modified xsi:type="dcterms:W3CDTF">2026-03-27T13:56:00Z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2025-01-13T07:32:34Z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c666afc8-d817-4bf5-87cb-19c27617c07c</vt:lpwstr>
  </property>
  <property fmtid="{D5CDD505-2E9C-101B-9397-08002B2CF9AE}" pid="11" name="MSIP_Label_38962dcf-d39f-4edc-a396-338a56ba9170_ContentBits">
    <vt:lpwstr>0</vt:lpwstr>
  </property>
</Properties>
</file>